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4B" w:rsidRDefault="00A6474B" w:rsidP="006B2E95">
      <w:pPr>
        <w:jc w:val="center"/>
        <w:rPr>
          <w:b/>
          <w:sz w:val="28"/>
          <w:szCs w:val="28"/>
        </w:rPr>
      </w:pPr>
      <w:r>
        <w:rPr>
          <w:b/>
          <w:sz w:val="28"/>
          <w:szCs w:val="28"/>
        </w:rPr>
        <w:t>КОНТРОЛЬНО-</w:t>
      </w:r>
      <w:r w:rsidR="0012405A">
        <w:rPr>
          <w:b/>
          <w:sz w:val="28"/>
          <w:szCs w:val="28"/>
        </w:rPr>
        <w:t>СЧЕТНАЯ ПАЛАТА</w:t>
      </w:r>
      <w:r>
        <w:rPr>
          <w:b/>
          <w:sz w:val="28"/>
          <w:szCs w:val="28"/>
        </w:rPr>
        <w:t xml:space="preserve"> </w:t>
      </w:r>
    </w:p>
    <w:p w:rsidR="006B2E95" w:rsidRDefault="00A6474B" w:rsidP="006B2E95">
      <w:pPr>
        <w:jc w:val="center"/>
        <w:rPr>
          <w:b/>
          <w:color w:val="000000"/>
          <w:sz w:val="28"/>
          <w:szCs w:val="28"/>
        </w:rPr>
      </w:pPr>
      <w:r>
        <w:rPr>
          <w:b/>
          <w:sz w:val="28"/>
          <w:szCs w:val="28"/>
        </w:rPr>
        <w:t>ОДИНЦОВСКОГО МУНИЦИПАЛЬНОГО РАЙОНА</w:t>
      </w:r>
    </w:p>
    <w:p w:rsidR="006B2E95" w:rsidRDefault="006B2E95" w:rsidP="006B2E95">
      <w:pPr>
        <w:jc w:val="center"/>
        <w:rPr>
          <w:b/>
          <w:color w:val="000000"/>
          <w:sz w:val="28"/>
          <w:szCs w:val="28"/>
        </w:rPr>
      </w:pPr>
    </w:p>
    <w:p w:rsidR="006B2E95" w:rsidRPr="00523687" w:rsidRDefault="006B2E95" w:rsidP="006B2E95">
      <w:pPr>
        <w:jc w:val="center"/>
        <w:rPr>
          <w:b/>
          <w:color w:val="000000"/>
          <w:sz w:val="28"/>
          <w:szCs w:val="28"/>
        </w:rPr>
      </w:pPr>
      <w:r w:rsidRPr="00523687">
        <w:rPr>
          <w:b/>
          <w:color w:val="000000"/>
          <w:sz w:val="28"/>
          <w:szCs w:val="28"/>
        </w:rPr>
        <w:t>ОТЧЕТ</w:t>
      </w:r>
    </w:p>
    <w:p w:rsidR="00910E2B" w:rsidRDefault="008714A0" w:rsidP="00910E2B">
      <w:pPr>
        <w:jc w:val="center"/>
      </w:pPr>
      <w:r>
        <w:rPr>
          <w:b/>
          <w:bCs/>
          <w:sz w:val="28"/>
          <w:szCs w:val="28"/>
        </w:rPr>
        <w:t>о результатах экспертно-аналитического мероприятия</w:t>
      </w:r>
    </w:p>
    <w:p w:rsidR="006B2E95" w:rsidRDefault="008714A0" w:rsidP="00910E2B">
      <w:pPr>
        <w:jc w:val="center"/>
        <w:rPr>
          <w:bCs/>
          <w:sz w:val="28"/>
          <w:szCs w:val="28"/>
        </w:rPr>
      </w:pPr>
      <w:r>
        <w:t xml:space="preserve"> </w:t>
      </w:r>
      <w:r w:rsidRPr="00A6474B">
        <w:t>«</w:t>
      </w:r>
      <w:r w:rsidRPr="00A6474B">
        <w:rPr>
          <w:bCs/>
          <w:sz w:val="28"/>
          <w:szCs w:val="28"/>
        </w:rPr>
        <w:t xml:space="preserve">Внешняя проверка годовой бюджетной отчетности </w:t>
      </w:r>
      <w:r w:rsidR="00253005">
        <w:rPr>
          <w:bCs/>
          <w:sz w:val="28"/>
          <w:szCs w:val="28"/>
        </w:rPr>
        <w:t xml:space="preserve">сельского поселения </w:t>
      </w:r>
      <w:proofErr w:type="gramStart"/>
      <w:r w:rsidR="00253005">
        <w:rPr>
          <w:bCs/>
          <w:sz w:val="28"/>
          <w:szCs w:val="28"/>
        </w:rPr>
        <w:t>Успенское</w:t>
      </w:r>
      <w:proofErr w:type="gramEnd"/>
      <w:r w:rsidR="00FA7B86">
        <w:rPr>
          <w:bCs/>
          <w:sz w:val="28"/>
          <w:szCs w:val="28"/>
        </w:rPr>
        <w:t xml:space="preserve"> Одинцовского муниципального района Московской области</w:t>
      </w:r>
      <w:r w:rsidRPr="00A6474B">
        <w:rPr>
          <w:bCs/>
          <w:sz w:val="28"/>
          <w:szCs w:val="28"/>
        </w:rPr>
        <w:t xml:space="preserve"> за 2014 год»</w:t>
      </w:r>
    </w:p>
    <w:p w:rsidR="00A6474B" w:rsidRDefault="00A6474B" w:rsidP="006B2E95">
      <w:pPr>
        <w:ind w:firstLine="540"/>
        <w:jc w:val="center"/>
        <w:rPr>
          <w:bCs/>
          <w:sz w:val="28"/>
          <w:szCs w:val="28"/>
        </w:rPr>
      </w:pPr>
    </w:p>
    <w:p w:rsidR="00A6474B" w:rsidRPr="00063C21" w:rsidRDefault="00A6474B" w:rsidP="00063C21">
      <w:pPr>
        <w:jc w:val="center"/>
        <w:rPr>
          <w:bCs/>
        </w:rPr>
      </w:pPr>
      <w:r w:rsidRPr="00063C21">
        <w:rPr>
          <w:bCs/>
        </w:rPr>
        <w:t>(утвержден Коллегией КРК ОМР</w:t>
      </w:r>
      <w:r w:rsidR="00063C21" w:rsidRPr="00063C21">
        <w:rPr>
          <w:bCs/>
        </w:rPr>
        <w:t>, протокол от _____________</w:t>
      </w:r>
      <w:r w:rsidR="00063C21">
        <w:rPr>
          <w:bCs/>
        </w:rPr>
        <w:t>__</w:t>
      </w:r>
      <w:r w:rsidR="000815DE">
        <w:rPr>
          <w:bCs/>
        </w:rPr>
        <w:t>______</w:t>
      </w:r>
      <w:r w:rsidR="00063C21">
        <w:rPr>
          <w:bCs/>
        </w:rPr>
        <w:t xml:space="preserve"> 2015г.</w:t>
      </w:r>
      <w:r w:rsidR="00063C21" w:rsidRPr="00063C21">
        <w:rPr>
          <w:bCs/>
        </w:rPr>
        <w:t xml:space="preserve"> № ___</w:t>
      </w:r>
      <w:r w:rsidR="00063C21">
        <w:rPr>
          <w:bCs/>
        </w:rPr>
        <w:t>_</w:t>
      </w:r>
      <w:r w:rsidR="00063C21" w:rsidRPr="00063C21">
        <w:rPr>
          <w:bCs/>
        </w:rPr>
        <w:t>)</w:t>
      </w:r>
    </w:p>
    <w:p w:rsidR="008714A0" w:rsidRPr="00063C21" w:rsidRDefault="008714A0" w:rsidP="006B2E95">
      <w:pPr>
        <w:ind w:firstLine="540"/>
        <w:jc w:val="center"/>
        <w:rPr>
          <w:color w:val="000000"/>
        </w:rPr>
      </w:pPr>
    </w:p>
    <w:p w:rsidR="0058211A" w:rsidRPr="0058211A" w:rsidRDefault="006B2E95" w:rsidP="0058211A">
      <w:pPr>
        <w:ind w:firstLine="720"/>
        <w:jc w:val="both"/>
        <w:rPr>
          <w:sz w:val="28"/>
          <w:szCs w:val="28"/>
        </w:rPr>
      </w:pPr>
      <w:r w:rsidRPr="00B053E4">
        <w:rPr>
          <w:b/>
          <w:sz w:val="28"/>
          <w:szCs w:val="28"/>
        </w:rPr>
        <w:t>Основа</w:t>
      </w:r>
      <w:r w:rsidR="008714A0">
        <w:rPr>
          <w:b/>
          <w:sz w:val="28"/>
          <w:szCs w:val="28"/>
        </w:rPr>
        <w:t xml:space="preserve">ние для проведения </w:t>
      </w:r>
      <w:r w:rsidRPr="00B053E4">
        <w:rPr>
          <w:b/>
          <w:sz w:val="28"/>
          <w:szCs w:val="28"/>
        </w:rPr>
        <w:t>мероприятия</w:t>
      </w:r>
      <w:r w:rsidR="008714A0" w:rsidRPr="008714A0">
        <w:rPr>
          <w:bCs/>
          <w:color w:val="000000" w:themeColor="text1"/>
          <w:sz w:val="28"/>
          <w:szCs w:val="28"/>
        </w:rPr>
        <w:t xml:space="preserve"> </w:t>
      </w:r>
      <w:r w:rsidR="008714A0">
        <w:rPr>
          <w:bCs/>
          <w:color w:val="000000" w:themeColor="text1"/>
          <w:sz w:val="28"/>
          <w:szCs w:val="28"/>
        </w:rPr>
        <w:t xml:space="preserve">пункт 1.1 </w:t>
      </w:r>
      <w:r w:rsidR="008714A0" w:rsidRPr="00DF769E">
        <w:rPr>
          <w:bCs/>
          <w:color w:val="000000" w:themeColor="text1"/>
          <w:sz w:val="28"/>
          <w:szCs w:val="28"/>
        </w:rPr>
        <w:t>плана работы Контрольно-</w:t>
      </w:r>
      <w:r w:rsidR="000E3ABD">
        <w:rPr>
          <w:bCs/>
          <w:color w:val="000000" w:themeColor="text1"/>
          <w:sz w:val="28"/>
          <w:szCs w:val="28"/>
        </w:rPr>
        <w:t>счетной палаты</w:t>
      </w:r>
      <w:r w:rsidR="008714A0" w:rsidRPr="00DF769E">
        <w:rPr>
          <w:bCs/>
          <w:color w:val="000000" w:themeColor="text1"/>
          <w:sz w:val="28"/>
          <w:szCs w:val="28"/>
        </w:rPr>
        <w:t xml:space="preserve"> Один</w:t>
      </w:r>
      <w:r w:rsidR="008714A0">
        <w:rPr>
          <w:bCs/>
          <w:color w:val="000000" w:themeColor="text1"/>
          <w:sz w:val="28"/>
          <w:szCs w:val="28"/>
        </w:rPr>
        <w:t>цовского муниципального района,</w:t>
      </w:r>
      <w:r w:rsidR="008714A0" w:rsidRPr="00CD3506">
        <w:rPr>
          <w:bCs/>
          <w:color w:val="000000" w:themeColor="text1"/>
          <w:sz w:val="28"/>
          <w:szCs w:val="28"/>
        </w:rPr>
        <w:t xml:space="preserve"> </w:t>
      </w:r>
      <w:r w:rsidR="008714A0" w:rsidRPr="00DF769E">
        <w:rPr>
          <w:bCs/>
          <w:color w:val="000000" w:themeColor="text1"/>
          <w:sz w:val="28"/>
          <w:szCs w:val="28"/>
        </w:rPr>
        <w:t>утвержденного распоряжением Контрольно-</w:t>
      </w:r>
      <w:r w:rsidR="000E3ABD">
        <w:rPr>
          <w:bCs/>
          <w:color w:val="000000" w:themeColor="text1"/>
          <w:sz w:val="28"/>
          <w:szCs w:val="28"/>
        </w:rPr>
        <w:t>счетной палаты</w:t>
      </w:r>
      <w:r w:rsidR="008714A0" w:rsidRPr="00DF769E">
        <w:rPr>
          <w:bCs/>
          <w:color w:val="000000" w:themeColor="text1"/>
          <w:sz w:val="28"/>
          <w:szCs w:val="28"/>
        </w:rPr>
        <w:t xml:space="preserve"> Одинцовского муниципального района от </w:t>
      </w:r>
      <w:r w:rsidR="008714A0">
        <w:rPr>
          <w:bCs/>
          <w:color w:val="000000" w:themeColor="text1"/>
          <w:sz w:val="28"/>
          <w:szCs w:val="28"/>
        </w:rPr>
        <w:t xml:space="preserve">30.12.2014 № 286, </w:t>
      </w:r>
      <w:r w:rsidR="008714A0" w:rsidRPr="00DF769E">
        <w:rPr>
          <w:bCs/>
          <w:color w:val="000000" w:themeColor="text1"/>
          <w:sz w:val="28"/>
          <w:szCs w:val="28"/>
        </w:rPr>
        <w:t>распоряжение Контрольно-</w:t>
      </w:r>
      <w:r w:rsidR="000E3ABD">
        <w:rPr>
          <w:bCs/>
          <w:color w:val="000000" w:themeColor="text1"/>
          <w:sz w:val="28"/>
          <w:szCs w:val="28"/>
        </w:rPr>
        <w:t>счетной палаты</w:t>
      </w:r>
      <w:r w:rsidR="008714A0" w:rsidRPr="00DF769E">
        <w:rPr>
          <w:bCs/>
          <w:color w:val="000000" w:themeColor="text1"/>
          <w:sz w:val="28"/>
          <w:szCs w:val="28"/>
        </w:rPr>
        <w:t xml:space="preserve"> Одинцовского муниципального района Московской </w:t>
      </w:r>
      <w:r w:rsidR="008714A0">
        <w:rPr>
          <w:bCs/>
          <w:color w:val="000000" w:themeColor="text1"/>
          <w:sz w:val="28"/>
          <w:szCs w:val="28"/>
        </w:rPr>
        <w:t xml:space="preserve">области от </w:t>
      </w:r>
      <w:r w:rsidR="0058211A" w:rsidRPr="0058211A">
        <w:rPr>
          <w:sz w:val="28"/>
          <w:szCs w:val="28"/>
        </w:rPr>
        <w:t xml:space="preserve"> </w:t>
      </w:r>
      <w:r w:rsidR="00253005">
        <w:rPr>
          <w:sz w:val="28"/>
          <w:szCs w:val="28"/>
        </w:rPr>
        <w:t>27.02</w:t>
      </w:r>
      <w:r w:rsidR="0058211A" w:rsidRPr="0058211A">
        <w:rPr>
          <w:sz w:val="28"/>
          <w:szCs w:val="28"/>
        </w:rPr>
        <w:t>.2015 г.№</w:t>
      </w:r>
      <w:r w:rsidR="000E3ABD">
        <w:rPr>
          <w:sz w:val="28"/>
          <w:szCs w:val="28"/>
        </w:rPr>
        <w:t>3</w:t>
      </w:r>
      <w:r w:rsidR="00253005">
        <w:rPr>
          <w:sz w:val="28"/>
          <w:szCs w:val="28"/>
        </w:rPr>
        <w:t>2</w:t>
      </w:r>
      <w:r w:rsidR="0058211A" w:rsidRPr="0058211A">
        <w:rPr>
          <w:sz w:val="28"/>
          <w:szCs w:val="28"/>
        </w:rPr>
        <w:t>.</w:t>
      </w:r>
    </w:p>
    <w:p w:rsidR="008714A0" w:rsidRDefault="008714A0" w:rsidP="008714A0">
      <w:pPr>
        <w:ind w:firstLine="709"/>
        <w:jc w:val="both"/>
        <w:outlineLvl w:val="2"/>
        <w:rPr>
          <w:bCs/>
          <w:snapToGrid w:val="0"/>
          <w:color w:val="000000" w:themeColor="text1"/>
          <w:sz w:val="28"/>
          <w:szCs w:val="28"/>
          <w:lang w:eastAsia="x-none"/>
        </w:rPr>
      </w:pPr>
      <w:r>
        <w:rPr>
          <w:b/>
          <w:sz w:val="28"/>
          <w:szCs w:val="28"/>
        </w:rPr>
        <w:t xml:space="preserve">Предмет </w:t>
      </w:r>
      <w:r w:rsidR="006B2E95" w:rsidRPr="00B053E4">
        <w:rPr>
          <w:b/>
          <w:sz w:val="28"/>
          <w:szCs w:val="28"/>
        </w:rPr>
        <w:t>мероприятия:</w:t>
      </w:r>
      <w:r w:rsidR="006B2E95">
        <w:rPr>
          <w:sz w:val="28"/>
          <w:szCs w:val="28"/>
        </w:rPr>
        <w:t xml:space="preserve"> </w:t>
      </w:r>
      <w:r w:rsidRPr="00817007">
        <w:rPr>
          <w:bCs/>
          <w:snapToGrid w:val="0"/>
          <w:color w:val="000000" w:themeColor="text1"/>
          <w:sz w:val="28"/>
          <w:szCs w:val="28"/>
          <w:lang w:eastAsia="x-none"/>
        </w:rPr>
        <w:t xml:space="preserve">годовая бюджетная отчетность, состав, формы и порядок предоставления который утверждается Министерством Финансов Российской Федерации, главная книга, регистры бюджетного (бухгалтерского) учета, материалы инвентаризации и другие материалы. </w:t>
      </w:r>
    </w:p>
    <w:p w:rsidR="008714A0" w:rsidRDefault="008714A0" w:rsidP="006B2E95">
      <w:pPr>
        <w:ind w:firstLine="708"/>
        <w:jc w:val="both"/>
        <w:rPr>
          <w:sz w:val="28"/>
          <w:szCs w:val="28"/>
        </w:rPr>
      </w:pPr>
      <w:r>
        <w:rPr>
          <w:b/>
          <w:sz w:val="28"/>
          <w:szCs w:val="28"/>
        </w:rPr>
        <w:t>Цель мероприятия</w:t>
      </w:r>
      <w:r w:rsidR="006B2E95" w:rsidRPr="00B053E4">
        <w:rPr>
          <w:b/>
          <w:sz w:val="28"/>
          <w:szCs w:val="28"/>
        </w:rPr>
        <w:t>:</w:t>
      </w:r>
      <w:r w:rsidR="006B2E95">
        <w:rPr>
          <w:sz w:val="28"/>
          <w:szCs w:val="28"/>
        </w:rPr>
        <w:t xml:space="preserve"> </w:t>
      </w:r>
      <w:r>
        <w:rPr>
          <w:sz w:val="28"/>
          <w:szCs w:val="28"/>
        </w:rPr>
        <w:t>установление полноты и достоверности показателей годовой бюджетной отчетности.</w:t>
      </w:r>
    </w:p>
    <w:p w:rsidR="00FA7B86" w:rsidRDefault="008714A0" w:rsidP="008714A0">
      <w:pPr>
        <w:ind w:firstLine="709"/>
        <w:jc w:val="both"/>
        <w:outlineLvl w:val="2"/>
        <w:rPr>
          <w:bCs/>
          <w:color w:val="000000" w:themeColor="text1"/>
          <w:sz w:val="28"/>
          <w:szCs w:val="28"/>
        </w:rPr>
      </w:pPr>
      <w:r>
        <w:rPr>
          <w:b/>
          <w:bCs/>
          <w:snapToGrid w:val="0"/>
          <w:color w:val="000000"/>
          <w:sz w:val="28"/>
          <w:szCs w:val="28"/>
          <w:lang w:eastAsia="x-none"/>
        </w:rPr>
        <w:t>Объект</w:t>
      </w:r>
      <w:r w:rsidR="006B2E95" w:rsidRPr="00B0582F">
        <w:rPr>
          <w:b/>
          <w:bCs/>
          <w:snapToGrid w:val="0"/>
          <w:color w:val="000000"/>
          <w:sz w:val="28"/>
          <w:szCs w:val="28"/>
          <w:lang w:eastAsia="x-none"/>
        </w:rPr>
        <w:t xml:space="preserve"> мероприятия:</w:t>
      </w:r>
      <w:r w:rsidR="00FA7B86">
        <w:rPr>
          <w:b/>
          <w:bCs/>
          <w:snapToGrid w:val="0"/>
          <w:color w:val="000000"/>
          <w:sz w:val="28"/>
          <w:szCs w:val="28"/>
          <w:lang w:eastAsia="x-none"/>
        </w:rPr>
        <w:t xml:space="preserve"> </w:t>
      </w:r>
      <w:r w:rsidR="00253005" w:rsidRPr="00253005">
        <w:rPr>
          <w:bCs/>
          <w:snapToGrid w:val="0"/>
          <w:color w:val="000000"/>
          <w:sz w:val="28"/>
          <w:szCs w:val="28"/>
          <w:lang w:eastAsia="x-none"/>
        </w:rPr>
        <w:t>сельское поселение Успенское</w:t>
      </w:r>
      <w:r w:rsidR="00253005">
        <w:rPr>
          <w:b/>
          <w:bCs/>
          <w:snapToGrid w:val="0"/>
          <w:color w:val="000000"/>
          <w:sz w:val="28"/>
          <w:szCs w:val="28"/>
          <w:lang w:eastAsia="x-none"/>
        </w:rPr>
        <w:t xml:space="preserve"> </w:t>
      </w:r>
      <w:r w:rsidR="00FA7B86" w:rsidRPr="00FA7B86">
        <w:rPr>
          <w:bCs/>
          <w:snapToGrid w:val="0"/>
          <w:color w:val="000000"/>
          <w:sz w:val="28"/>
          <w:szCs w:val="28"/>
          <w:lang w:eastAsia="x-none"/>
        </w:rPr>
        <w:t>Одинцовского мун</w:t>
      </w:r>
      <w:r w:rsidR="00FA7B86">
        <w:rPr>
          <w:bCs/>
          <w:snapToGrid w:val="0"/>
          <w:color w:val="000000"/>
          <w:sz w:val="28"/>
          <w:szCs w:val="28"/>
          <w:lang w:eastAsia="x-none"/>
        </w:rPr>
        <w:t>и</w:t>
      </w:r>
      <w:r w:rsidR="00FA7B86" w:rsidRPr="00FA7B86">
        <w:rPr>
          <w:bCs/>
          <w:snapToGrid w:val="0"/>
          <w:color w:val="000000"/>
          <w:sz w:val="28"/>
          <w:szCs w:val="28"/>
          <w:lang w:eastAsia="x-none"/>
        </w:rPr>
        <w:t>цип</w:t>
      </w:r>
      <w:r w:rsidR="00FA7B86">
        <w:rPr>
          <w:bCs/>
          <w:snapToGrid w:val="0"/>
          <w:color w:val="000000"/>
          <w:sz w:val="28"/>
          <w:szCs w:val="28"/>
          <w:lang w:eastAsia="x-none"/>
        </w:rPr>
        <w:t xml:space="preserve">ального района Московской области. </w:t>
      </w:r>
      <w:r w:rsidR="00FA7B86">
        <w:rPr>
          <w:bCs/>
          <w:color w:val="000000" w:themeColor="text1"/>
          <w:sz w:val="28"/>
          <w:szCs w:val="28"/>
        </w:rPr>
        <w:t xml:space="preserve"> </w:t>
      </w:r>
    </w:p>
    <w:p w:rsidR="0015682F" w:rsidRDefault="0015682F" w:rsidP="008714A0">
      <w:pPr>
        <w:ind w:firstLine="709"/>
        <w:jc w:val="both"/>
        <w:outlineLvl w:val="2"/>
        <w:rPr>
          <w:color w:val="000000" w:themeColor="text1"/>
          <w:sz w:val="28"/>
          <w:szCs w:val="20"/>
        </w:rPr>
      </w:pPr>
      <w:r>
        <w:rPr>
          <w:b/>
          <w:color w:val="000000" w:themeColor="text1"/>
          <w:sz w:val="28"/>
          <w:szCs w:val="20"/>
        </w:rPr>
        <w:t>Исследуемый период</w:t>
      </w:r>
      <w:r w:rsidRPr="003512BA">
        <w:rPr>
          <w:b/>
          <w:color w:val="000000" w:themeColor="text1"/>
          <w:sz w:val="28"/>
          <w:szCs w:val="20"/>
        </w:rPr>
        <w:t xml:space="preserve">: </w:t>
      </w:r>
      <w:r>
        <w:rPr>
          <w:color w:val="000000" w:themeColor="text1"/>
          <w:sz w:val="28"/>
          <w:szCs w:val="20"/>
        </w:rPr>
        <w:t>2014 год.</w:t>
      </w:r>
    </w:p>
    <w:p w:rsidR="0015682F" w:rsidRDefault="0015682F" w:rsidP="008714A0">
      <w:pPr>
        <w:ind w:firstLine="709"/>
        <w:jc w:val="both"/>
        <w:outlineLvl w:val="2"/>
        <w:rPr>
          <w:bCs/>
          <w:color w:val="000000" w:themeColor="text1"/>
          <w:sz w:val="28"/>
          <w:szCs w:val="28"/>
        </w:rPr>
      </w:pPr>
      <w:r w:rsidRPr="003512BA">
        <w:rPr>
          <w:b/>
          <w:bCs/>
          <w:color w:val="000000" w:themeColor="text1"/>
          <w:sz w:val="28"/>
          <w:szCs w:val="28"/>
        </w:rPr>
        <w:t xml:space="preserve">Сроки проведения мероприятия: </w:t>
      </w:r>
      <w:r>
        <w:rPr>
          <w:bCs/>
          <w:color w:val="000000" w:themeColor="text1"/>
          <w:sz w:val="28"/>
          <w:szCs w:val="28"/>
        </w:rPr>
        <w:t xml:space="preserve">с </w:t>
      </w:r>
      <w:r w:rsidR="00253005">
        <w:rPr>
          <w:bCs/>
          <w:color w:val="000000" w:themeColor="text1"/>
          <w:sz w:val="28"/>
          <w:szCs w:val="28"/>
        </w:rPr>
        <w:t>05</w:t>
      </w:r>
      <w:r>
        <w:rPr>
          <w:bCs/>
          <w:color w:val="000000" w:themeColor="text1"/>
          <w:sz w:val="28"/>
          <w:szCs w:val="28"/>
        </w:rPr>
        <w:t xml:space="preserve"> по </w:t>
      </w:r>
      <w:r w:rsidR="000E3ABD">
        <w:rPr>
          <w:bCs/>
          <w:color w:val="000000" w:themeColor="text1"/>
          <w:sz w:val="28"/>
          <w:szCs w:val="28"/>
        </w:rPr>
        <w:t>1</w:t>
      </w:r>
      <w:r w:rsidR="00253005">
        <w:rPr>
          <w:bCs/>
          <w:color w:val="000000" w:themeColor="text1"/>
          <w:sz w:val="28"/>
          <w:szCs w:val="28"/>
        </w:rPr>
        <w:t>1</w:t>
      </w:r>
      <w:r>
        <w:rPr>
          <w:bCs/>
          <w:color w:val="000000" w:themeColor="text1"/>
          <w:sz w:val="28"/>
          <w:szCs w:val="28"/>
        </w:rPr>
        <w:t xml:space="preserve"> </w:t>
      </w:r>
      <w:r w:rsidR="000E3ABD">
        <w:rPr>
          <w:bCs/>
          <w:color w:val="000000" w:themeColor="text1"/>
          <w:sz w:val="28"/>
          <w:szCs w:val="28"/>
        </w:rPr>
        <w:t>марта</w:t>
      </w:r>
      <w:r>
        <w:rPr>
          <w:bCs/>
          <w:color w:val="000000" w:themeColor="text1"/>
          <w:sz w:val="28"/>
          <w:szCs w:val="28"/>
        </w:rPr>
        <w:t xml:space="preserve"> 2015 года.</w:t>
      </w:r>
    </w:p>
    <w:p w:rsidR="00167813" w:rsidRDefault="0015682F" w:rsidP="008714A0">
      <w:pPr>
        <w:ind w:firstLine="709"/>
        <w:jc w:val="both"/>
        <w:outlineLvl w:val="2"/>
        <w:rPr>
          <w:b/>
          <w:bCs/>
          <w:color w:val="000000" w:themeColor="text1"/>
          <w:sz w:val="28"/>
          <w:szCs w:val="28"/>
        </w:rPr>
      </w:pPr>
      <w:r w:rsidRPr="0015682F">
        <w:rPr>
          <w:b/>
          <w:bCs/>
          <w:color w:val="000000" w:themeColor="text1"/>
          <w:sz w:val="28"/>
          <w:szCs w:val="28"/>
        </w:rPr>
        <w:t xml:space="preserve">Результаты мероприятия: </w:t>
      </w:r>
    </w:p>
    <w:p w:rsidR="0015682F" w:rsidRPr="00167813" w:rsidRDefault="00167813" w:rsidP="00167813">
      <w:pPr>
        <w:jc w:val="both"/>
        <w:outlineLvl w:val="2"/>
        <w:rPr>
          <w:bCs/>
          <w:color w:val="000000" w:themeColor="text1"/>
          <w:sz w:val="28"/>
          <w:szCs w:val="28"/>
        </w:rPr>
      </w:pPr>
      <w:r>
        <w:rPr>
          <w:bCs/>
          <w:color w:val="000000" w:themeColor="text1"/>
          <w:sz w:val="28"/>
          <w:szCs w:val="28"/>
        </w:rPr>
        <w:t>Г</w:t>
      </w:r>
      <w:r w:rsidRPr="00167813">
        <w:rPr>
          <w:bCs/>
          <w:color w:val="000000" w:themeColor="text1"/>
          <w:sz w:val="28"/>
          <w:szCs w:val="28"/>
        </w:rPr>
        <w:t xml:space="preserve">одовая бюджетная отчетность </w:t>
      </w:r>
      <w:r w:rsidR="00253005">
        <w:rPr>
          <w:bCs/>
          <w:color w:val="000000" w:themeColor="text1"/>
          <w:sz w:val="28"/>
          <w:szCs w:val="28"/>
        </w:rPr>
        <w:t xml:space="preserve">сельского поселения </w:t>
      </w:r>
      <w:proofErr w:type="gramStart"/>
      <w:r w:rsidR="00253005">
        <w:rPr>
          <w:bCs/>
          <w:color w:val="000000" w:themeColor="text1"/>
          <w:sz w:val="28"/>
          <w:szCs w:val="28"/>
        </w:rPr>
        <w:t>Успенское</w:t>
      </w:r>
      <w:proofErr w:type="gramEnd"/>
      <w:r w:rsidR="00FA7B86">
        <w:rPr>
          <w:bCs/>
          <w:sz w:val="28"/>
          <w:szCs w:val="28"/>
        </w:rPr>
        <w:t xml:space="preserve"> Одинцовского муниципального района Московской области</w:t>
      </w:r>
      <w:r w:rsidRPr="00167813">
        <w:rPr>
          <w:bCs/>
          <w:sz w:val="28"/>
          <w:szCs w:val="28"/>
        </w:rPr>
        <w:t xml:space="preserve"> за 2014 год признана достоверной.</w:t>
      </w:r>
    </w:p>
    <w:p w:rsidR="0015682F" w:rsidRPr="0015682F" w:rsidRDefault="0015682F" w:rsidP="0015682F">
      <w:pPr>
        <w:pStyle w:val="Default"/>
        <w:rPr>
          <w:b/>
          <w:sz w:val="28"/>
          <w:szCs w:val="28"/>
        </w:rPr>
      </w:pPr>
      <w:r w:rsidRPr="0015682F">
        <w:rPr>
          <w:bCs/>
          <w:color w:val="000000" w:themeColor="text1"/>
          <w:sz w:val="28"/>
          <w:szCs w:val="28"/>
        </w:rPr>
        <w:tab/>
      </w:r>
      <w:r w:rsidRPr="0015682F">
        <w:rPr>
          <w:b/>
          <w:sz w:val="28"/>
          <w:szCs w:val="28"/>
        </w:rPr>
        <w:t xml:space="preserve">Выводы: </w:t>
      </w:r>
    </w:p>
    <w:p w:rsidR="00253005" w:rsidRPr="00253005" w:rsidRDefault="00253005" w:rsidP="00253005">
      <w:pPr>
        <w:ind w:firstLine="709"/>
        <w:jc w:val="both"/>
        <w:rPr>
          <w:sz w:val="28"/>
          <w:szCs w:val="28"/>
        </w:rPr>
      </w:pPr>
      <w:r w:rsidRPr="00253005">
        <w:rPr>
          <w:sz w:val="28"/>
          <w:szCs w:val="28"/>
        </w:rPr>
        <w:t xml:space="preserve">- Годовой отчёт об исполнении бюджета </w:t>
      </w:r>
      <w:r w:rsidRPr="00253005">
        <w:rPr>
          <w:rFonts w:eastAsia="Calibri"/>
          <w:sz w:val="28"/>
          <w:szCs w:val="28"/>
          <w:lang w:eastAsia="en-US"/>
        </w:rPr>
        <w:t xml:space="preserve">сельского поселения </w:t>
      </w:r>
      <w:proofErr w:type="gramStart"/>
      <w:r w:rsidRPr="00253005">
        <w:rPr>
          <w:sz w:val="28"/>
          <w:szCs w:val="28"/>
        </w:rPr>
        <w:t>Успенское</w:t>
      </w:r>
      <w:proofErr w:type="gramEnd"/>
      <w:r w:rsidRPr="00253005">
        <w:rPr>
          <w:sz w:val="28"/>
          <w:szCs w:val="28"/>
        </w:rPr>
        <w:t xml:space="preserve"> Одинцовского муниципального района за 2014 год для подготовки заключения представлен в соответствии с требованием бюджетного законодательства, по форме отчетности, установленной Министерством финансов РФ;</w:t>
      </w:r>
    </w:p>
    <w:p w:rsidR="00253005" w:rsidRPr="00253005" w:rsidRDefault="00253005" w:rsidP="00253005">
      <w:pPr>
        <w:ind w:firstLine="709"/>
        <w:jc w:val="both"/>
        <w:rPr>
          <w:sz w:val="28"/>
          <w:szCs w:val="28"/>
        </w:rPr>
      </w:pPr>
      <w:r w:rsidRPr="00253005">
        <w:rPr>
          <w:sz w:val="28"/>
          <w:szCs w:val="28"/>
        </w:rPr>
        <w:t>- С целью подтверждения достоверности годового отчета об исполнении бюджета сельского поселения Успенское за 2014 год проведена проверка годовой бюджетной отчетности получателей бюджетных средств (Администрация сельского поселения Успенское, Совет депутатов сельского поселения Успенское, МБУККТ «Успенский муниципальный сельский Дом культуры» и МБУККТ «</w:t>
      </w:r>
      <w:proofErr w:type="spellStart"/>
      <w:r w:rsidRPr="00253005">
        <w:rPr>
          <w:sz w:val="28"/>
          <w:szCs w:val="28"/>
        </w:rPr>
        <w:t>Горковский</w:t>
      </w:r>
      <w:proofErr w:type="spellEnd"/>
      <w:r w:rsidRPr="00253005">
        <w:rPr>
          <w:sz w:val="28"/>
          <w:szCs w:val="28"/>
        </w:rPr>
        <w:t xml:space="preserve"> муниципальный сельский Дом культуры»);</w:t>
      </w:r>
    </w:p>
    <w:p w:rsidR="00253005" w:rsidRPr="00253005" w:rsidRDefault="00253005" w:rsidP="00253005">
      <w:pPr>
        <w:ind w:firstLine="709"/>
        <w:jc w:val="both"/>
        <w:rPr>
          <w:color w:val="FF0000"/>
          <w:sz w:val="28"/>
          <w:szCs w:val="28"/>
        </w:rPr>
      </w:pPr>
      <w:r w:rsidRPr="00253005">
        <w:rPr>
          <w:sz w:val="28"/>
          <w:szCs w:val="28"/>
        </w:rPr>
        <w:lastRenderedPageBreak/>
        <w:t>-</w:t>
      </w:r>
      <w:r w:rsidRPr="00253005">
        <w:rPr>
          <w:color w:val="FF0000"/>
          <w:sz w:val="28"/>
          <w:szCs w:val="28"/>
        </w:rPr>
        <w:t xml:space="preserve"> </w:t>
      </w:r>
      <w:r w:rsidRPr="00253005">
        <w:rPr>
          <w:sz w:val="28"/>
          <w:szCs w:val="28"/>
        </w:rPr>
        <w:t>Показатели форм бюджетной отчетности соответствуют показателям регистров синтетического и аналитического учета;</w:t>
      </w:r>
    </w:p>
    <w:p w:rsidR="00253005" w:rsidRPr="00253005" w:rsidRDefault="00253005" w:rsidP="00253005">
      <w:pPr>
        <w:ind w:firstLine="709"/>
        <w:jc w:val="both"/>
        <w:rPr>
          <w:sz w:val="28"/>
          <w:szCs w:val="28"/>
        </w:rPr>
      </w:pPr>
      <w:r w:rsidRPr="00253005">
        <w:rPr>
          <w:sz w:val="28"/>
          <w:szCs w:val="28"/>
        </w:rPr>
        <w:t>- Фактов недостоверности отчетности не выявлено;</w:t>
      </w:r>
    </w:p>
    <w:p w:rsidR="00253005" w:rsidRPr="00253005" w:rsidRDefault="00253005" w:rsidP="00253005">
      <w:pPr>
        <w:ind w:firstLine="709"/>
        <w:jc w:val="both"/>
        <w:rPr>
          <w:sz w:val="28"/>
          <w:szCs w:val="28"/>
        </w:rPr>
      </w:pPr>
      <w:r w:rsidRPr="00253005">
        <w:rPr>
          <w:sz w:val="28"/>
          <w:szCs w:val="28"/>
        </w:rPr>
        <w:t xml:space="preserve">- Выявлены факты неполноты бюджетной отчетности, способные негативно повлиять на достоверность отчетности. Так, в отчете о принятых бюджетных обязательствах (ф. 0503128) по Администрации сельского поселения </w:t>
      </w:r>
      <w:proofErr w:type="gramStart"/>
      <w:r w:rsidRPr="00253005">
        <w:rPr>
          <w:sz w:val="28"/>
          <w:szCs w:val="28"/>
        </w:rPr>
        <w:t>Успенское</w:t>
      </w:r>
      <w:proofErr w:type="gramEnd"/>
      <w:r w:rsidRPr="00253005">
        <w:rPr>
          <w:sz w:val="28"/>
          <w:szCs w:val="28"/>
        </w:rPr>
        <w:t xml:space="preserve"> в графе 10 «Исполнено денежных обязательств» строки «Общегосударственные вопросы» сумма указана неверно (79 658,17 тыс. руб. вместо 89 760,07 тыс. руб.),;</w:t>
      </w:r>
    </w:p>
    <w:p w:rsidR="00253005" w:rsidRPr="00253005" w:rsidRDefault="00253005" w:rsidP="00253005">
      <w:pPr>
        <w:ind w:firstLine="709"/>
        <w:jc w:val="both"/>
        <w:rPr>
          <w:sz w:val="28"/>
          <w:szCs w:val="28"/>
        </w:rPr>
      </w:pPr>
      <w:proofErr w:type="gramStart"/>
      <w:r w:rsidRPr="00253005">
        <w:rPr>
          <w:sz w:val="28"/>
          <w:szCs w:val="28"/>
        </w:rPr>
        <w:t>- Администрацией сельского поселения Успенское не реализована возможность для получения части средств в виде субсидии из бюджета Московской области на повышение заработной платы работников муниципальных учреждений в сферах образования, культуры, физической культуры и спорта,</w:t>
      </w:r>
      <w:r w:rsidRPr="00253005">
        <w:rPr>
          <w:rFonts w:ascii="Calibri" w:eastAsia="Calibri" w:hAnsi="Calibri"/>
          <w:sz w:val="22"/>
          <w:szCs w:val="22"/>
          <w:lang w:eastAsia="en-US"/>
        </w:rPr>
        <w:t xml:space="preserve"> </w:t>
      </w:r>
      <w:r w:rsidRPr="00253005">
        <w:rPr>
          <w:sz w:val="28"/>
          <w:szCs w:val="28"/>
        </w:rPr>
        <w:t>согласно Указа Президента Российской Федерации от 07.05.2012г. № 597, и, как следствие, упущена возможность экономии средств бюджета сельского поселения;</w:t>
      </w:r>
      <w:proofErr w:type="gramEnd"/>
    </w:p>
    <w:p w:rsidR="00253005" w:rsidRPr="00253005" w:rsidRDefault="00253005" w:rsidP="00253005">
      <w:pPr>
        <w:ind w:firstLine="709"/>
        <w:jc w:val="both"/>
        <w:rPr>
          <w:rFonts w:eastAsia="Calibri"/>
          <w:color w:val="FF0000"/>
          <w:sz w:val="28"/>
          <w:szCs w:val="28"/>
          <w:lang w:eastAsia="en-US"/>
        </w:rPr>
      </w:pPr>
      <w:r w:rsidRPr="00253005">
        <w:rPr>
          <w:rFonts w:eastAsia="Calibri"/>
          <w:sz w:val="28"/>
          <w:szCs w:val="28"/>
          <w:lang w:eastAsia="en-US"/>
        </w:rPr>
        <w:t>-</w:t>
      </w:r>
      <w:r w:rsidRPr="00253005">
        <w:rPr>
          <w:rFonts w:eastAsia="Calibri"/>
          <w:color w:val="FF0000"/>
          <w:sz w:val="28"/>
          <w:szCs w:val="28"/>
          <w:lang w:eastAsia="en-US"/>
        </w:rPr>
        <w:t xml:space="preserve"> </w:t>
      </w:r>
      <w:r w:rsidRPr="00253005">
        <w:rPr>
          <w:rFonts w:eastAsia="Calibri"/>
          <w:sz w:val="28"/>
          <w:szCs w:val="28"/>
          <w:lang w:eastAsia="en-US"/>
        </w:rPr>
        <w:t xml:space="preserve">В бюджет сельского поселения </w:t>
      </w:r>
      <w:r w:rsidRPr="00253005">
        <w:rPr>
          <w:sz w:val="28"/>
          <w:szCs w:val="28"/>
        </w:rPr>
        <w:t>Успенское</w:t>
      </w:r>
      <w:r w:rsidRPr="00253005">
        <w:rPr>
          <w:rFonts w:eastAsia="Calibri"/>
          <w:sz w:val="28"/>
          <w:szCs w:val="28"/>
          <w:lang w:eastAsia="en-US"/>
        </w:rPr>
        <w:t xml:space="preserve"> Одинцовского муниципального района за 2014 год поступило доходов в сумме        891 548,56 тыс. руб., что составило</w:t>
      </w:r>
      <w:r w:rsidRPr="00253005">
        <w:rPr>
          <w:rFonts w:eastAsia="Calibri"/>
          <w:color w:val="FF0000"/>
          <w:sz w:val="28"/>
          <w:szCs w:val="28"/>
          <w:lang w:eastAsia="en-US"/>
        </w:rPr>
        <w:t xml:space="preserve"> </w:t>
      </w:r>
      <w:r w:rsidRPr="00253005">
        <w:rPr>
          <w:rFonts w:eastAsia="Calibri"/>
          <w:sz w:val="28"/>
          <w:szCs w:val="28"/>
          <w:lang w:eastAsia="en-US"/>
        </w:rPr>
        <w:t xml:space="preserve">108,46% от уточненного плана. Расходы бюджета исполнены в сумме 778 907,04 тыс. руб. или 92,66% от запланированных бюджетных ассигнований. </w:t>
      </w:r>
    </w:p>
    <w:p w:rsidR="00253005" w:rsidRPr="00253005" w:rsidRDefault="00253005" w:rsidP="00253005">
      <w:pPr>
        <w:ind w:firstLine="709"/>
        <w:jc w:val="both"/>
        <w:rPr>
          <w:rFonts w:eastAsia="Calibri"/>
          <w:sz w:val="28"/>
          <w:szCs w:val="28"/>
          <w:lang w:eastAsia="en-US"/>
        </w:rPr>
      </w:pPr>
      <w:r w:rsidRPr="00253005">
        <w:rPr>
          <w:rFonts w:eastAsia="Calibri"/>
          <w:sz w:val="28"/>
          <w:szCs w:val="28"/>
          <w:lang w:eastAsia="en-US"/>
        </w:rPr>
        <w:t>Низкое исполнение расходной части бюджета сложилось в результате нескольких факторов, основными из которых являются:</w:t>
      </w:r>
    </w:p>
    <w:p w:rsidR="00253005" w:rsidRPr="00253005" w:rsidRDefault="00253005" w:rsidP="00253005">
      <w:pPr>
        <w:ind w:firstLine="709"/>
        <w:jc w:val="both"/>
        <w:rPr>
          <w:rFonts w:eastAsia="Calibri"/>
          <w:sz w:val="28"/>
          <w:szCs w:val="28"/>
          <w:lang w:eastAsia="en-US"/>
        </w:rPr>
      </w:pPr>
      <w:r w:rsidRPr="00253005">
        <w:rPr>
          <w:rFonts w:eastAsia="Calibri"/>
          <w:sz w:val="28"/>
          <w:szCs w:val="28"/>
          <w:lang w:eastAsia="en-US"/>
        </w:rPr>
        <w:t>-</w:t>
      </w:r>
      <w:r w:rsidRPr="00253005">
        <w:rPr>
          <w:rFonts w:ascii="Calibri" w:eastAsia="Calibri" w:hAnsi="Calibri"/>
          <w:sz w:val="22"/>
          <w:szCs w:val="22"/>
          <w:lang w:eastAsia="en-US"/>
        </w:rPr>
        <w:t xml:space="preserve"> </w:t>
      </w:r>
      <w:r w:rsidRPr="00253005">
        <w:rPr>
          <w:rFonts w:eastAsia="Calibri"/>
          <w:sz w:val="28"/>
          <w:szCs w:val="28"/>
          <w:lang w:eastAsia="en-US"/>
        </w:rPr>
        <w:t xml:space="preserve">возникшая вакансия по субвенции Московской области  2-х сотрудников  ВУС;  </w:t>
      </w:r>
    </w:p>
    <w:p w:rsidR="00253005" w:rsidRPr="00253005" w:rsidRDefault="00253005" w:rsidP="00253005">
      <w:pPr>
        <w:ind w:firstLine="709"/>
        <w:jc w:val="both"/>
        <w:rPr>
          <w:rFonts w:eastAsia="Calibri"/>
          <w:sz w:val="28"/>
          <w:szCs w:val="28"/>
          <w:lang w:eastAsia="en-US"/>
        </w:rPr>
      </w:pPr>
      <w:r w:rsidRPr="00253005">
        <w:rPr>
          <w:rFonts w:eastAsia="Calibri"/>
          <w:sz w:val="28"/>
          <w:szCs w:val="28"/>
          <w:lang w:eastAsia="en-US"/>
        </w:rPr>
        <w:t>- по другим вопросам в области национальной безопасности и правоохранительной деятельности - в результате расторжения муниципального контракта № 245/13 по установке видеокамер в связи с несогласованием.</w:t>
      </w:r>
    </w:p>
    <w:p w:rsidR="00253005" w:rsidRPr="00253005" w:rsidRDefault="00253005" w:rsidP="00253005">
      <w:pPr>
        <w:ind w:firstLine="709"/>
        <w:jc w:val="both"/>
        <w:rPr>
          <w:rFonts w:eastAsia="Calibri"/>
          <w:color w:val="FF0000"/>
          <w:sz w:val="28"/>
          <w:szCs w:val="28"/>
          <w:lang w:eastAsia="en-US"/>
        </w:rPr>
      </w:pPr>
      <w:r w:rsidRPr="00253005">
        <w:rPr>
          <w:rFonts w:eastAsia="Calibri"/>
          <w:sz w:val="28"/>
          <w:szCs w:val="28"/>
          <w:lang w:eastAsia="en-US"/>
        </w:rPr>
        <w:t>- по молодежной политике – экономия денежных средств, выделенных на поощрение творческой молодежи, по фактически предоставленным документам.</w:t>
      </w:r>
    </w:p>
    <w:p w:rsidR="00253005" w:rsidRPr="00253005" w:rsidRDefault="00253005" w:rsidP="00253005">
      <w:pPr>
        <w:ind w:firstLine="709"/>
        <w:jc w:val="both"/>
        <w:rPr>
          <w:rFonts w:eastAsia="Calibri"/>
          <w:sz w:val="28"/>
          <w:szCs w:val="28"/>
          <w:lang w:eastAsia="en-US"/>
        </w:rPr>
      </w:pPr>
      <w:r w:rsidRPr="00253005">
        <w:rPr>
          <w:rFonts w:eastAsia="Calibri"/>
          <w:sz w:val="28"/>
          <w:szCs w:val="28"/>
          <w:lang w:eastAsia="en-US"/>
        </w:rPr>
        <w:t>По данным годового отчета об исполнении бюджета профицит составил 112 641,52 тыс. руб.;</w:t>
      </w:r>
    </w:p>
    <w:p w:rsidR="00253005" w:rsidRPr="00253005" w:rsidRDefault="00253005" w:rsidP="00253005">
      <w:pPr>
        <w:ind w:firstLine="709"/>
        <w:jc w:val="both"/>
        <w:rPr>
          <w:rFonts w:eastAsia="Calibri"/>
          <w:sz w:val="28"/>
          <w:szCs w:val="28"/>
          <w:lang w:eastAsia="en-US"/>
        </w:rPr>
      </w:pPr>
      <w:r w:rsidRPr="00253005">
        <w:rPr>
          <w:rFonts w:eastAsia="Calibri"/>
          <w:sz w:val="28"/>
          <w:szCs w:val="28"/>
          <w:lang w:eastAsia="en-US"/>
        </w:rPr>
        <w:t>- По состоянию на 01.01.2015г. дебиторская задолженность составила     57 701,70</w:t>
      </w:r>
      <w:r w:rsidRPr="00253005">
        <w:rPr>
          <w:rFonts w:ascii="Calibri" w:eastAsia="Calibri" w:hAnsi="Calibri"/>
          <w:sz w:val="28"/>
          <w:szCs w:val="28"/>
          <w:lang w:eastAsia="en-US"/>
        </w:rPr>
        <w:t xml:space="preserve"> </w:t>
      </w:r>
      <w:r w:rsidRPr="00253005">
        <w:rPr>
          <w:rFonts w:eastAsia="Calibri"/>
          <w:sz w:val="28"/>
          <w:szCs w:val="28"/>
          <w:lang w:eastAsia="en-US"/>
        </w:rPr>
        <w:t>тыс. руб., кредиторская задолженность составила 117,74 тыс. руб.;</w:t>
      </w:r>
    </w:p>
    <w:p w:rsidR="00253005" w:rsidRPr="00253005" w:rsidRDefault="00253005" w:rsidP="00253005">
      <w:pPr>
        <w:ind w:firstLine="709"/>
        <w:jc w:val="both"/>
        <w:rPr>
          <w:sz w:val="28"/>
          <w:szCs w:val="28"/>
        </w:rPr>
      </w:pPr>
      <w:r w:rsidRPr="00253005">
        <w:rPr>
          <w:sz w:val="28"/>
          <w:szCs w:val="28"/>
        </w:rPr>
        <w:t>- Остаток денежных средств на лицевом счете бюджета по состоянию на 01.01.2015 года составляет 1 031 650,04 тыс. руб.;</w:t>
      </w:r>
    </w:p>
    <w:p w:rsidR="00253005" w:rsidRPr="00253005" w:rsidRDefault="00253005" w:rsidP="00253005">
      <w:pPr>
        <w:ind w:firstLine="709"/>
        <w:jc w:val="both"/>
        <w:rPr>
          <w:sz w:val="28"/>
          <w:szCs w:val="28"/>
        </w:rPr>
      </w:pPr>
      <w:r w:rsidRPr="00253005">
        <w:rPr>
          <w:sz w:val="28"/>
          <w:szCs w:val="28"/>
        </w:rPr>
        <w:t xml:space="preserve">- По результатам проведенной внешней проверки годового отчета об исполнении бюджета </w:t>
      </w:r>
      <w:r w:rsidRPr="00253005">
        <w:rPr>
          <w:rFonts w:eastAsia="Calibri"/>
          <w:sz w:val="28"/>
          <w:szCs w:val="28"/>
          <w:lang w:eastAsia="en-US"/>
        </w:rPr>
        <w:t xml:space="preserve">сельского поселения </w:t>
      </w:r>
      <w:proofErr w:type="gramStart"/>
      <w:r w:rsidRPr="00253005">
        <w:rPr>
          <w:sz w:val="28"/>
          <w:szCs w:val="28"/>
        </w:rPr>
        <w:t>Успенское</w:t>
      </w:r>
      <w:proofErr w:type="gramEnd"/>
      <w:r w:rsidRPr="00253005">
        <w:rPr>
          <w:sz w:val="28"/>
          <w:szCs w:val="28"/>
        </w:rPr>
        <w:t xml:space="preserve"> Одинцовского муниципального района за 2014 год несоответствия исполнения бюджета принятому решению о бюджете не установлено. </w:t>
      </w:r>
    </w:p>
    <w:p w:rsidR="00253005" w:rsidRPr="00253005" w:rsidRDefault="00253005" w:rsidP="00253005">
      <w:pPr>
        <w:ind w:firstLine="709"/>
        <w:jc w:val="both"/>
        <w:rPr>
          <w:sz w:val="28"/>
          <w:szCs w:val="28"/>
        </w:rPr>
      </w:pPr>
    </w:p>
    <w:p w:rsidR="00253005" w:rsidRPr="00253005" w:rsidRDefault="00253005" w:rsidP="00253005">
      <w:pPr>
        <w:jc w:val="center"/>
        <w:rPr>
          <w:b/>
          <w:sz w:val="28"/>
          <w:szCs w:val="28"/>
        </w:rPr>
      </w:pPr>
      <w:r w:rsidRPr="00253005">
        <w:rPr>
          <w:b/>
          <w:sz w:val="28"/>
          <w:szCs w:val="28"/>
        </w:rPr>
        <w:t>Предложения</w:t>
      </w:r>
    </w:p>
    <w:p w:rsidR="00253005" w:rsidRPr="00253005" w:rsidRDefault="00253005" w:rsidP="00253005">
      <w:pPr>
        <w:jc w:val="center"/>
        <w:rPr>
          <w:b/>
          <w:sz w:val="28"/>
          <w:szCs w:val="28"/>
        </w:rPr>
      </w:pPr>
    </w:p>
    <w:p w:rsidR="00253005" w:rsidRPr="00253005" w:rsidRDefault="00253005" w:rsidP="00253005">
      <w:pPr>
        <w:ind w:firstLine="709"/>
        <w:jc w:val="both"/>
        <w:rPr>
          <w:rFonts w:eastAsia="Calibri"/>
          <w:sz w:val="28"/>
          <w:szCs w:val="28"/>
          <w:lang w:eastAsia="en-US"/>
        </w:rPr>
      </w:pPr>
      <w:r w:rsidRPr="00253005">
        <w:rPr>
          <w:rFonts w:eastAsia="Calibri"/>
          <w:sz w:val="28"/>
          <w:szCs w:val="28"/>
          <w:lang w:eastAsia="en-US"/>
        </w:rPr>
        <w:lastRenderedPageBreak/>
        <w:t>1. При внесении изменений в решение Совета депутатов сельского поселения Успенское о бюджете на очередной финансовый год проекты нормативно-правовых актов предоставлять для проведения финансово-экономической экспертизы в Контрольно-счетную палату.</w:t>
      </w:r>
    </w:p>
    <w:p w:rsidR="00253005" w:rsidRPr="00253005" w:rsidRDefault="00253005" w:rsidP="00253005">
      <w:pPr>
        <w:ind w:firstLine="709"/>
        <w:jc w:val="both"/>
        <w:rPr>
          <w:rFonts w:eastAsia="Calibri"/>
          <w:sz w:val="28"/>
          <w:szCs w:val="28"/>
          <w:lang w:eastAsia="en-US"/>
        </w:rPr>
      </w:pPr>
      <w:r w:rsidRPr="00253005">
        <w:rPr>
          <w:rFonts w:eastAsia="Calibri"/>
          <w:sz w:val="28"/>
          <w:szCs w:val="28"/>
          <w:lang w:eastAsia="en-US"/>
        </w:rPr>
        <w:t xml:space="preserve">2. При составлении форм бюджетной отчетности следует строго руководствоваться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 191н. </w:t>
      </w:r>
    </w:p>
    <w:p w:rsidR="00253005" w:rsidRPr="00253005" w:rsidRDefault="00253005" w:rsidP="00253005">
      <w:pPr>
        <w:ind w:firstLine="709"/>
        <w:jc w:val="both"/>
        <w:rPr>
          <w:rFonts w:eastAsia="Calibri"/>
          <w:color w:val="FF0000"/>
          <w:sz w:val="28"/>
          <w:szCs w:val="28"/>
          <w:lang w:eastAsia="en-US"/>
        </w:rPr>
      </w:pPr>
      <w:r w:rsidRPr="00253005">
        <w:rPr>
          <w:rFonts w:eastAsia="Calibri"/>
          <w:sz w:val="28"/>
          <w:szCs w:val="28"/>
          <w:lang w:eastAsia="en-US"/>
        </w:rPr>
        <w:t xml:space="preserve">3. В полной мере реализовывать возможность для использования субсидий из вышестоящих бюджетов для экономии средств бюджета сельского поселения </w:t>
      </w:r>
      <w:proofErr w:type="gramStart"/>
      <w:r w:rsidRPr="00253005">
        <w:rPr>
          <w:rFonts w:eastAsia="Calibri"/>
          <w:sz w:val="28"/>
          <w:szCs w:val="28"/>
          <w:lang w:eastAsia="en-US"/>
        </w:rPr>
        <w:t>Успенское</w:t>
      </w:r>
      <w:proofErr w:type="gramEnd"/>
      <w:r w:rsidRPr="00253005">
        <w:rPr>
          <w:rFonts w:eastAsia="Calibri"/>
          <w:sz w:val="28"/>
          <w:szCs w:val="28"/>
          <w:lang w:eastAsia="en-US"/>
        </w:rPr>
        <w:t>.</w:t>
      </w:r>
    </w:p>
    <w:p w:rsidR="00253005" w:rsidRPr="00253005" w:rsidRDefault="00253005" w:rsidP="00253005">
      <w:pPr>
        <w:ind w:firstLine="709"/>
        <w:jc w:val="both"/>
        <w:rPr>
          <w:rFonts w:eastAsia="Calibri"/>
          <w:sz w:val="28"/>
          <w:szCs w:val="28"/>
          <w:lang w:eastAsia="en-US"/>
        </w:rPr>
      </w:pPr>
      <w:r w:rsidRPr="00253005">
        <w:rPr>
          <w:rFonts w:eastAsia="Calibri"/>
          <w:sz w:val="28"/>
          <w:szCs w:val="28"/>
          <w:lang w:eastAsia="en-US"/>
        </w:rPr>
        <w:t>4. Проводить мероприятия по привлечению дополнительных неналоговых доходов.</w:t>
      </w:r>
    </w:p>
    <w:p w:rsidR="00253005" w:rsidRPr="00253005" w:rsidRDefault="00253005" w:rsidP="00253005">
      <w:pPr>
        <w:ind w:firstLine="709"/>
        <w:jc w:val="both"/>
        <w:rPr>
          <w:rFonts w:eastAsia="Calibri"/>
          <w:sz w:val="28"/>
          <w:szCs w:val="28"/>
          <w:lang w:eastAsia="en-US"/>
        </w:rPr>
      </w:pPr>
      <w:r w:rsidRPr="00253005">
        <w:rPr>
          <w:rFonts w:eastAsia="Calibri"/>
          <w:sz w:val="28"/>
          <w:szCs w:val="28"/>
          <w:lang w:eastAsia="en-US"/>
        </w:rPr>
        <w:t>5.</w:t>
      </w:r>
      <w:r w:rsidRPr="00253005">
        <w:rPr>
          <w:rFonts w:ascii="Calibri" w:eastAsia="Calibri" w:hAnsi="Calibri"/>
          <w:sz w:val="22"/>
          <w:szCs w:val="22"/>
          <w:lang w:eastAsia="en-US"/>
        </w:rPr>
        <w:t xml:space="preserve"> </w:t>
      </w:r>
      <w:r w:rsidRPr="00253005">
        <w:rPr>
          <w:rFonts w:eastAsia="Calibri"/>
          <w:sz w:val="28"/>
          <w:szCs w:val="28"/>
          <w:lang w:eastAsia="en-US"/>
        </w:rPr>
        <w:t xml:space="preserve">Усилить </w:t>
      </w:r>
      <w:proofErr w:type="gramStart"/>
      <w:r w:rsidRPr="00253005">
        <w:rPr>
          <w:rFonts w:eastAsia="Calibri"/>
          <w:sz w:val="28"/>
          <w:szCs w:val="28"/>
          <w:lang w:eastAsia="en-US"/>
        </w:rPr>
        <w:t>контроль за</w:t>
      </w:r>
      <w:proofErr w:type="gramEnd"/>
      <w:r w:rsidRPr="00253005">
        <w:rPr>
          <w:rFonts w:eastAsia="Calibri"/>
          <w:sz w:val="28"/>
          <w:szCs w:val="28"/>
          <w:lang w:eastAsia="en-US"/>
        </w:rPr>
        <w:t xml:space="preserve"> исполнением муниципальных контрактов.</w:t>
      </w:r>
    </w:p>
    <w:p w:rsidR="00253005" w:rsidRPr="00253005" w:rsidRDefault="00253005" w:rsidP="00253005">
      <w:pPr>
        <w:ind w:firstLine="709"/>
        <w:jc w:val="both"/>
        <w:rPr>
          <w:rFonts w:eastAsia="Calibri"/>
          <w:sz w:val="28"/>
          <w:szCs w:val="28"/>
          <w:lang w:eastAsia="en-US"/>
        </w:rPr>
      </w:pPr>
      <w:r w:rsidRPr="00253005">
        <w:rPr>
          <w:rFonts w:eastAsia="Calibri"/>
          <w:sz w:val="28"/>
          <w:szCs w:val="28"/>
          <w:lang w:eastAsia="en-US"/>
        </w:rPr>
        <w:t>6. Проводить постоянный мониторинг за состоянием дебиторской и кредиторской задолженности.</w:t>
      </w:r>
    </w:p>
    <w:p w:rsidR="00253005" w:rsidRPr="00253005" w:rsidRDefault="00253005" w:rsidP="00253005">
      <w:pPr>
        <w:ind w:firstLine="720"/>
        <w:jc w:val="both"/>
        <w:rPr>
          <w:rFonts w:eastAsia="Calibri"/>
          <w:color w:val="FF0000"/>
          <w:sz w:val="28"/>
          <w:szCs w:val="28"/>
          <w:highlight w:val="yellow"/>
          <w:lang w:eastAsia="en-US"/>
        </w:rPr>
      </w:pPr>
    </w:p>
    <w:p w:rsidR="00253005" w:rsidRPr="00253005" w:rsidRDefault="00253005" w:rsidP="00253005">
      <w:pPr>
        <w:tabs>
          <w:tab w:val="left" w:pos="1080"/>
        </w:tabs>
        <w:jc w:val="both"/>
        <w:rPr>
          <w:color w:val="FF0000"/>
          <w:sz w:val="28"/>
          <w:szCs w:val="28"/>
        </w:rPr>
      </w:pPr>
    </w:p>
    <w:p w:rsidR="00B53AB2" w:rsidRPr="000E3ABD" w:rsidRDefault="00B53AB2" w:rsidP="00B53AB2">
      <w:pPr>
        <w:ind w:left="675" w:hanging="831"/>
        <w:jc w:val="both"/>
        <w:rPr>
          <w:rFonts w:eastAsia="Batang"/>
          <w:sz w:val="28"/>
          <w:szCs w:val="28"/>
        </w:rPr>
      </w:pPr>
      <w:bookmarkStart w:id="0" w:name="_GoBack"/>
      <w:bookmarkEnd w:id="0"/>
    </w:p>
    <w:p w:rsidR="00167813" w:rsidRDefault="00167813" w:rsidP="000E3ABD">
      <w:pPr>
        <w:ind w:hanging="928"/>
        <w:jc w:val="both"/>
        <w:rPr>
          <w:sz w:val="28"/>
          <w:szCs w:val="28"/>
        </w:rPr>
      </w:pPr>
    </w:p>
    <w:sectPr w:rsidR="00167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C69"/>
    <w:multiLevelType w:val="hybridMultilevel"/>
    <w:tmpl w:val="6E6E074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433EC7"/>
    <w:multiLevelType w:val="hybridMultilevel"/>
    <w:tmpl w:val="0EB6CD96"/>
    <w:lvl w:ilvl="0" w:tplc="3D984C00">
      <w:start w:val="1"/>
      <w:numFmt w:val="decimal"/>
      <w:lvlText w:val="%1."/>
      <w:lvlJc w:val="left"/>
      <w:pPr>
        <w:ind w:left="1115"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17"/>
    <w:rsid w:val="00063C21"/>
    <w:rsid w:val="000815DE"/>
    <w:rsid w:val="000E3ABD"/>
    <w:rsid w:val="0012405A"/>
    <w:rsid w:val="0015682F"/>
    <w:rsid w:val="00167813"/>
    <w:rsid w:val="00253005"/>
    <w:rsid w:val="00285B17"/>
    <w:rsid w:val="00430130"/>
    <w:rsid w:val="004F3BC9"/>
    <w:rsid w:val="0058211A"/>
    <w:rsid w:val="005957D1"/>
    <w:rsid w:val="005C23C1"/>
    <w:rsid w:val="006B2E95"/>
    <w:rsid w:val="007237DF"/>
    <w:rsid w:val="00740024"/>
    <w:rsid w:val="008714A0"/>
    <w:rsid w:val="00881A3F"/>
    <w:rsid w:val="00910E2B"/>
    <w:rsid w:val="009C1C0A"/>
    <w:rsid w:val="00A6266D"/>
    <w:rsid w:val="00A6474B"/>
    <w:rsid w:val="00B47335"/>
    <w:rsid w:val="00B53AB2"/>
    <w:rsid w:val="00BF6082"/>
    <w:rsid w:val="00C12465"/>
    <w:rsid w:val="00CA7A0A"/>
    <w:rsid w:val="00CD6413"/>
    <w:rsid w:val="00CE0D90"/>
    <w:rsid w:val="00DE3776"/>
    <w:rsid w:val="00DE6A5C"/>
    <w:rsid w:val="00E32A9A"/>
    <w:rsid w:val="00F561E0"/>
    <w:rsid w:val="00FA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682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67813"/>
    <w:pPr>
      <w:ind w:left="720"/>
      <w:contextualSpacing/>
    </w:pPr>
  </w:style>
  <w:style w:type="paragraph" w:styleId="a4">
    <w:name w:val="Balloon Text"/>
    <w:basedOn w:val="a"/>
    <w:link w:val="a5"/>
    <w:uiPriority w:val="99"/>
    <w:semiHidden/>
    <w:unhideWhenUsed/>
    <w:rsid w:val="00BF6082"/>
    <w:rPr>
      <w:rFonts w:ascii="Tahoma" w:hAnsi="Tahoma" w:cs="Tahoma"/>
      <w:sz w:val="16"/>
      <w:szCs w:val="16"/>
    </w:rPr>
  </w:style>
  <w:style w:type="character" w:customStyle="1" w:styleId="a5">
    <w:name w:val="Текст выноски Знак"/>
    <w:basedOn w:val="a0"/>
    <w:link w:val="a4"/>
    <w:uiPriority w:val="99"/>
    <w:semiHidden/>
    <w:rsid w:val="00BF60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682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67813"/>
    <w:pPr>
      <w:ind w:left="720"/>
      <w:contextualSpacing/>
    </w:pPr>
  </w:style>
  <w:style w:type="paragraph" w:styleId="a4">
    <w:name w:val="Balloon Text"/>
    <w:basedOn w:val="a"/>
    <w:link w:val="a5"/>
    <w:uiPriority w:val="99"/>
    <w:semiHidden/>
    <w:unhideWhenUsed/>
    <w:rsid w:val="00BF6082"/>
    <w:rPr>
      <w:rFonts w:ascii="Tahoma" w:hAnsi="Tahoma" w:cs="Tahoma"/>
      <w:sz w:val="16"/>
      <w:szCs w:val="16"/>
    </w:rPr>
  </w:style>
  <w:style w:type="character" w:customStyle="1" w:styleId="a5">
    <w:name w:val="Текст выноски Знак"/>
    <w:basedOn w:val="a0"/>
    <w:link w:val="a4"/>
    <w:uiPriority w:val="99"/>
    <w:semiHidden/>
    <w:rsid w:val="00BF60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user13</cp:lastModifiedBy>
  <cp:revision>5</cp:revision>
  <cp:lastPrinted>2015-03-23T12:08:00Z</cp:lastPrinted>
  <dcterms:created xsi:type="dcterms:W3CDTF">2015-03-23T12:47:00Z</dcterms:created>
  <dcterms:modified xsi:type="dcterms:W3CDTF">2015-10-27T07:29:00Z</dcterms:modified>
</cp:coreProperties>
</file>