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65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>внешних проверок годовых отчетов об исполнении бюджета городских и сельских поселений Одинцовского муниципального района за 2016 год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4"/>
        <w:gridCol w:w="3828"/>
        <w:gridCol w:w="2977"/>
        <w:gridCol w:w="2977"/>
      </w:tblGrid>
      <w:tr w:rsidR="006547E8" w:rsidRPr="00FA6CA8" w:rsidTr="006547E8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3828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  <w:tc>
          <w:tcPr>
            <w:tcW w:w="2977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 по результатам экспертно-аналитического мероприятия</w:t>
            </w:r>
          </w:p>
        </w:tc>
      </w:tr>
      <w:tr w:rsidR="006547E8" w:rsidRPr="00FA6CA8" w:rsidTr="006547E8">
        <w:tc>
          <w:tcPr>
            <w:tcW w:w="675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исполнении бюджета сельского поселения Никольское 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п.8,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№ 191 н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 к бюджетной отчетности не отражена информация о формах бюджетной отчетности, которые не имеют числовых показателей.</w:t>
            </w:r>
          </w:p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 ст. 13 Федерального закона от 06.12.2011                          № 402-ФЗ «О бухгалтерском учете»,  п. 20 Инструкции № 191н, в Справке о наличии имущества и обязательств на </w:t>
            </w:r>
            <w:proofErr w:type="spellStart"/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по строкам 250-252 не отражена стоимость муниципального имущества, переданного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ерки данное нарушение устранено).</w:t>
            </w:r>
          </w:p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«Санкционирование расходов экономического субъекта»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№ 157 н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сельского поселения Никольское, Советом депутатов сельского поселения Никольское,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 санкционирование расходов в учете в полном объеме не отражалось.</w:t>
            </w:r>
            <w:proofErr w:type="gramEnd"/>
          </w:p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№ 157н, рабочий план счетов Администрации сельского поселения Никольское и Совета депутатов сельского поселения Никольское, являющийся приложением № 6 к Учетной политике, не содержит полного перечня синтетических и аналитических счетов, предусмотренных вышеуказанной инструкцией. </w:t>
            </w:r>
          </w:p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Никольское допущены нарушения требований Методических указаний по инвентаризации имуще</w:t>
            </w:r>
            <w:r w:rsidR="005A53DA">
              <w:rPr>
                <w:rFonts w:ascii="Times New Roman" w:hAnsi="Times New Roman" w:cs="Times New Roman"/>
                <w:sz w:val="24"/>
                <w:szCs w:val="24"/>
              </w:rPr>
              <w:t xml:space="preserve">ства и финансовых обязательств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от 13.06.1995 № 49</w:t>
            </w:r>
            <w:r w:rsidR="005A53D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Методические указания</w:t>
            </w:r>
            <w:r w:rsidR="005A53DA"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A53DA" w:rsidRPr="0065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№ 49</w:t>
            </w:r>
            <w:r w:rsidR="005A5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3DA" w:rsidRPr="00654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E8" w:rsidRPr="006547E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Акты сверки произведены не по всем дебиторам, что противоречит требованиям ст. 11 Федерального закона от 06.12.2011 № 402-ФЗ                  «О бухгалтерском учете», п. 3.44 Методических указаний по инвентаризации № 49.</w:t>
            </w:r>
          </w:p>
          <w:p w:rsidR="006547E8" w:rsidRPr="00FA6CA8" w:rsidRDefault="005A53DA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547E8" w:rsidRPr="006547E8">
              <w:rPr>
                <w:rFonts w:ascii="Times New Roman" w:hAnsi="Times New Roman" w:cs="Times New Roman"/>
                <w:sz w:val="24"/>
                <w:szCs w:val="24"/>
              </w:rPr>
              <w:t>Таблица № 5 «Сведения о результатах мероприятий внутреннего муниципального финансового контроля» к Пояснительной записке (ф.0503160) не отражает полной информации о текущем, предварительном и последующем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 в проверяемом учреждении.</w:t>
            </w:r>
          </w:p>
        </w:tc>
        <w:tc>
          <w:tcPr>
            <w:tcW w:w="2977" w:type="dxa"/>
          </w:tcPr>
          <w:p w:rsidR="006547E8" w:rsidRPr="00FA6CA8" w:rsidRDefault="00857BB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6547E8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A53DA" w:rsidRPr="006547E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A53DA" w:rsidRPr="005A53DA" w:rsidRDefault="005A53DA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п.8, п.152 Инструкции № 191н пояснительной записке к бюджетной отчетности Администрации городского поселения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, Совета депутатов городского поселения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» не отражена информация о формах бюджетной отчетности, которые не имеют числовых показателей.</w:t>
            </w:r>
          </w:p>
          <w:p w:rsidR="005A53DA" w:rsidRPr="005A53DA" w:rsidRDefault="005A53DA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п.56 Инструкции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№ 33н в пояснительной записке (ф.0503760) автономного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МАУКиС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» не отражена информация о формах бюджетной отчетности (ф.0503761, ф.0503767, ф.0503771, ф.0503772, ф.0503295), не вошедших в состав бюджетной отчетности в связи с отсутствием числовых значений. </w:t>
            </w:r>
          </w:p>
          <w:p w:rsidR="005A53DA" w:rsidRPr="005A53DA" w:rsidRDefault="005A53DA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требования п.161 Инструкции № 191н, в ф. 0503162 «Сведения о результатах деятельности» Администрации городского поселения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 не отражены данные о результатах деятельности подведомственного автономного учреждения АУ «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МАУКиС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» в пределах предоставленной ему субсидий из бюджета городского поселения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муниципального задания.</w:t>
            </w:r>
          </w:p>
          <w:p w:rsidR="005A53DA" w:rsidRPr="005A53DA" w:rsidRDefault="005A53DA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В нарушение ст.11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06.12.2011 № 402-ФЗ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«О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лтерском учете», п.7 Инструкции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№ 191н, п.1.5. </w:t>
            </w:r>
            <w:proofErr w:type="gramStart"/>
            <w:r w:rsidR="007042E8">
              <w:rPr>
                <w:rFonts w:ascii="Times New Roman" w:hAnsi="Times New Roman" w:cs="Times New Roman"/>
                <w:sz w:val="24"/>
                <w:szCs w:val="24"/>
              </w:rPr>
              <w:t>Методических указаний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№ 49), в 2016 году Администрацией городского поселения </w:t>
            </w:r>
            <w:proofErr w:type="spellStart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инвентаризация обязательств, а также имущества </w:t>
            </w:r>
            <w:r w:rsidRPr="005A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казны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      </w:r>
            <w:proofErr w:type="gramEnd"/>
          </w:p>
          <w:p w:rsidR="005A53DA" w:rsidRP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нарушение п.6 Инструкции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№ 157н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поселения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Учетной </w:t>
            </w:r>
            <w:proofErr w:type="gram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политики не утвержден порядок проведения инвентаризации имущества казны</w:t>
            </w:r>
            <w:proofErr w:type="gram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DA" w:rsidRP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«Санкционирование расходов экономического субъекта» Инструкции № 157н Администрацией городского поселения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суммы утвержденных на соответствующий финансовый год сметных (плановых) назначений по доходам (поступлениям) главного администратора доходов бюджета, суммы внесенных изменений в показатели сметных назначений в учете по счету 50400 «Сметные (плановые, прогнозные) назначения» не отражались.</w:t>
            </w:r>
            <w:proofErr w:type="gramEnd"/>
          </w:p>
          <w:p w:rsidR="005A53DA" w:rsidRP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п.2.3.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указаний по инвентаризации  № 49, инвентаризация в Совете депутатов городского поселения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на основании распоряжения Главы Администрации городского поселения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от 07.09.2016 № 159-осн «О проведении инвентаризации в Администрации городского поселения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области».</w:t>
            </w:r>
          </w:p>
          <w:p w:rsidR="005A53DA" w:rsidRP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В нарушение пунктов 2.4, 2.10 Методических указаний по инвентаризации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в инвентаризационной описи отсутствовали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ответственного лица.</w:t>
            </w:r>
          </w:p>
          <w:p w:rsidR="005A53DA" w:rsidRP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В нарушение ст.11 Федерального закона от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12.2011 № 402-ФЗ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п.9 Инструкции № 33н, п.1.5 Методических указаний по инвентаризации № 49, в автономном учреждении «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МАУКиС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» 2016 году не проведена инвентаризация обязательств, для обеспечения достоверности данных бухгалтерского учета и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бухгалтерской отчетности.</w:t>
            </w:r>
          </w:p>
          <w:p w:rsidR="005A53DA" w:rsidRDefault="007042E8" w:rsidP="005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В автономном учреждении «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МАУКиС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="005A53DA" w:rsidRPr="005A53DA">
              <w:rPr>
                <w:rFonts w:ascii="Times New Roman" w:hAnsi="Times New Roman" w:cs="Times New Roman"/>
                <w:sz w:val="24"/>
                <w:szCs w:val="24"/>
              </w:rPr>
              <w:t>» акты сверки произведены не по всем дебиторам, кредиторам, что противоречит требованиям ст. 11 Федерального закона от 06.12.2011 № 402-ФЗ «О бухгалтерском учете», п. 3.44 Методических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казаний по инвентаризации № 49.</w:t>
            </w:r>
          </w:p>
        </w:tc>
        <w:tc>
          <w:tcPr>
            <w:tcW w:w="2977" w:type="dxa"/>
          </w:tcPr>
          <w:p w:rsidR="005A53DA" w:rsidRDefault="00857BB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A53DA" w:rsidRPr="006547E8" w:rsidRDefault="007042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7042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7042E8" w:rsidRPr="007042E8" w:rsidRDefault="007C74D2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п.8, п.152 Инструкция </w:t>
            </w:r>
            <w:r w:rsidR="0093491C">
              <w:rPr>
                <w:rFonts w:ascii="Times New Roman" w:hAnsi="Times New Roman" w:cs="Times New Roman"/>
                <w:sz w:val="24"/>
                <w:szCs w:val="24"/>
              </w:rPr>
              <w:t>№ 191н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 записке к бюджетной отчетности Администрации сельского поселения Горское, Совета депутатов сельского поселения Горское не отражена информация о формах бюджетной отчетности, которые не имеют числовых показателей.</w:t>
            </w:r>
          </w:p>
          <w:p w:rsidR="007042E8" w:rsidRPr="007042E8" w:rsidRDefault="0093491C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В нарушение п. 152 Инструкции № 191н пояснительная записка (ф.0503160) Администрации сельского поселения Горское составлена без указания разделов, предусмотренных вышеуказанным пунктом Инструкции.</w:t>
            </w:r>
            <w:proofErr w:type="gramEnd"/>
          </w:p>
          <w:p w:rsidR="007042E8" w:rsidRPr="007042E8" w:rsidRDefault="0093491C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«Санкционирование расходов экономического субъекта»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№ 157н Администрацией сельского поселения Горское суммы внесенных изменений в течение                 2016 года в показатели сметных назначений по доходам (поступлениям) главного администратора доходов бюджета, в бюджетном учете по счету 50400 «Сметные (плановые, прогнозные) назначения» не отражались.</w:t>
            </w:r>
            <w:proofErr w:type="gramEnd"/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В нарушение ст.11 Федерального закона от 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2.2011 № 402-ФЗ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«О бухгалтерском учете», п.7 Инструкции № 191н, п.1.5 Методические </w:t>
            </w:r>
            <w:r w:rsidR="00595750">
              <w:rPr>
                <w:rFonts w:ascii="Times New Roman" w:hAnsi="Times New Roman" w:cs="Times New Roman"/>
                <w:sz w:val="24"/>
                <w:szCs w:val="24"/>
              </w:rPr>
              <w:t>указания по инвентаризации № 49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, в Администрации сельского поселения Горское в 2016 году не проведена инвентаризация обязательств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 </w:t>
            </w:r>
            <w:proofErr w:type="gramEnd"/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сельского поселения Горское, МАУ «КМЦ Дом Молодежи» акты сверки произведены не по всем дебиторам, кредиторам, что противоречит требованиям ст. 11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06.12.2011               № 402-ФЗ «О бухгалтерском учете», п. 3.44 Методических указаний по инвентаризации № 49.</w:t>
            </w:r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№ 157н рабочий план счетов Администрации сельского поселения Горское, являющийся приложением № 2 к Учетной политике, не содержит полного перечня синтетических и аналитических счетов, предусмотренных  Инструкцией № 157н, а именно: отсутствует счет 50400 «Сметные (плановые, прогнозные) назначения» раздела 5 «Санкционирование расходов хозяйствующего субъекта».</w:t>
            </w:r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МАУ «КМЦ «Дом Молодежи»  допущены нарушения Методических указаний по инвентаризации № 49, устанавливающих порядок проведения инвентаризации имущества, числящегося на балансе, что может служить основанием для признания результатов инвентариза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нарушены п. 2.5 (в графах 7,8 не указано фактическое наличие финансовых активов), п. 2.9 </w:t>
            </w:r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на каждой странице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итог количества в натуральных показателях, а также на сумму фактически, записанных на данной странице;</w:t>
            </w:r>
          </w:p>
          <w:p w:rsidR="007042E8" w:rsidRPr="007042E8" w:rsidRDefault="007042E8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на последней странице описи не сделаны отметки об общем фактическом наличии имущества в единицах, а также в суммовом выражении</w:t>
            </w:r>
            <w:r w:rsidR="00226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2E8" w:rsidRPr="007042E8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В нарушение ст.11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06.12.2011 № 402-ФЗ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«О 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терском учете», п.9 Инструкции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№ 33н,      п.1.5 Методических указаний по инвентаризации № 49 в МАУ «КМЦ «Дом Молодежи»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2016 году не проведена инвентаризация обязательств, а также имущества, находящегося на </w:t>
            </w:r>
            <w:proofErr w:type="spellStart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счете 21 «Основные средства стоимостью до 3000 рублей включительно в эксплуатации», для обеспечения достоверности данных бухгалтерского учета и бухгалтерской</w:t>
            </w:r>
            <w:proofErr w:type="gramEnd"/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отчетности, проведение которой обязательно перед составлением годовой бухгалтерской отчетности. </w:t>
            </w:r>
          </w:p>
          <w:p w:rsidR="005A53DA" w:rsidRDefault="002268B0" w:rsidP="007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В нарушение п.56 Инструкции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t xml:space="preserve">№ 33н в пояснительной записке (ф.0503760) к бюджетной отчетности МАУ «КМЦ «Дом </w:t>
            </w:r>
            <w:r w:rsidR="007042E8" w:rsidRPr="0070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Молодежи» не отражена информация о формах бюджетной отчетности (ф.0503761, ф.0503767, ф.0503771, ф.0503772, ф.0503295), не вошедших в состав бюджетной отчетности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числовых значений. </w:t>
            </w:r>
          </w:p>
        </w:tc>
        <w:tc>
          <w:tcPr>
            <w:tcW w:w="2977" w:type="dxa"/>
          </w:tcPr>
          <w:p w:rsidR="005A53DA" w:rsidRDefault="00857BB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5A53DA" w:rsidRPr="006547E8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F0251D" w:rsidRPr="00F0251D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 В Администрации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области:</w:t>
            </w:r>
          </w:p>
          <w:p w:rsidR="00F0251D" w:rsidRPr="00F0251D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1.1. В нарушение ст. 8 Федерального закона от 06.12.2011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«О бухгалтерском учете», п.6 Инструкции № 157н не сформирована учетная политика.</w:t>
            </w:r>
          </w:p>
          <w:p w:rsidR="00F0251D" w:rsidRPr="00F0251D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1.2. В нарушение требований п.6 Инструкции № 157н не велся учет по счетам 050400000 и 050700000.</w:t>
            </w:r>
          </w:p>
          <w:p w:rsidR="00F0251D" w:rsidRPr="00F0251D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1.3. В нарушение требований п.381, п.382 Инструкции №157н на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счете 25 не отражено имущество, предоставленное в возмездное пользование (аренду); аналитический учет по счету 25 в карточке количественно-суммового учета материальных ценностей (ф.0504041) в разрезе арендаторов (</w:t>
            </w:r>
            <w:proofErr w:type="gram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пользователей) </w:t>
            </w:r>
            <w:proofErr w:type="gram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имущества не велся.</w:t>
            </w:r>
          </w:p>
          <w:p w:rsidR="00F0251D" w:rsidRPr="00F0251D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1.4. В нарушение требований ст.11 Федерального закона от 06.12.2011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402-ФЗ «О бухгалтерском учете», п.3.44.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по некоторым счетам бухгалтерского учета отсутствуют документы, подтверждающие обоснованности сумм, числящихся на счетах бухгалтерского учета (акты сверок произведены не со всеми дебиторами и кредиторами).</w:t>
            </w:r>
          </w:p>
          <w:p w:rsidR="005A53DA" w:rsidRDefault="00F0251D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В МАУ «Центр развития физической культуры и спорта «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Барвихинский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» в нарушение требований ч.13 ст.2 Федерального закона от 03.11.2006  № 174-ФЗ «Об автономных учреждениях», </w:t>
            </w:r>
            <w:hyperlink r:id="rId6" w:history="1">
              <w:r w:rsidRPr="00F0251D">
                <w:rPr>
                  <w:rFonts w:ascii="Times New Roman" w:hAnsi="Times New Roman" w:cs="Times New Roman"/>
                  <w:sz w:val="24"/>
                  <w:szCs w:val="24"/>
                </w:rPr>
                <w:t>п. 15.1</w:t>
              </w:r>
            </w:hyperlink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финансов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от 21.07.2011 № 86н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 об учреждении на сайте </w:t>
            </w:r>
            <w:hyperlink r:id="rId7" w:history="1">
              <w:r w:rsidRPr="00F0251D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gramEnd"/>
              <w:r w:rsidRPr="00F0251D">
                <w:rPr>
                  <w:rFonts w:ascii="Times New Roman" w:hAnsi="Times New Roman" w:cs="Times New Roman"/>
                  <w:sz w:val="24"/>
                  <w:szCs w:val="24"/>
                </w:rPr>
                <w:t>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размещена.</w:t>
            </w:r>
          </w:p>
        </w:tc>
        <w:tc>
          <w:tcPr>
            <w:tcW w:w="2977" w:type="dxa"/>
          </w:tcPr>
          <w:p w:rsidR="005A53DA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5A53DA" w:rsidRPr="006547E8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F0251D" w:rsidRPr="00F0251D" w:rsidRDefault="00F0251D" w:rsidP="00F0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 В Администрации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и МКУ «Управление по обеспечению деятельности органов местного самоуправления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0251D" w:rsidRPr="00F0251D" w:rsidRDefault="00F0251D" w:rsidP="00F0251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1.1. В нарушение требований п.2 ст.11 Федерального закона от 06.12.2011 № 402-ФЗ «О бухгалтерском учете» в инвентаризационных описях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отсутствовало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материальных ценностей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; по некоторым счетам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отсутствовали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обоснованности сумм, числящихся на счетах бухгалтерского учета (акты сверок произведены не со всеми дебиторами и  кредиторами).</w:t>
            </w:r>
          </w:p>
          <w:p w:rsidR="00F0251D" w:rsidRPr="00F0251D" w:rsidRDefault="00F0251D" w:rsidP="00CF2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1.2. В нарушение требований п.2.9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№ 49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A">
              <w:rPr>
                <w:rFonts w:ascii="Times New Roman" w:hAnsi="Times New Roman" w:cs="Times New Roman"/>
                <w:sz w:val="24"/>
                <w:szCs w:val="24"/>
              </w:rPr>
              <w:t>допущены нарушения при оформлении инвентаризационных ведомостей.</w:t>
            </w:r>
          </w:p>
          <w:p w:rsidR="00F0251D" w:rsidRPr="00F0251D" w:rsidRDefault="00F0251D" w:rsidP="00CF21A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2. В МБУК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центр»:</w:t>
            </w:r>
          </w:p>
          <w:p w:rsidR="00F0251D" w:rsidRPr="00F0251D" w:rsidRDefault="00F0251D" w:rsidP="00F025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2.1. В нарушение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п.2.7 и п.2.9 </w:t>
            </w:r>
            <w:r w:rsidR="00CF21A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="00CF21AA"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№ 49</w:t>
            </w:r>
            <w:r w:rsidR="00CF21AA"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1AA">
              <w:rPr>
                <w:rFonts w:ascii="Times New Roman" w:hAnsi="Times New Roman" w:cs="Times New Roman"/>
                <w:sz w:val="24"/>
                <w:szCs w:val="24"/>
              </w:rPr>
              <w:t>допущены нарушения при оформлении инвентаризационных ведомостей</w:t>
            </w:r>
            <w:r w:rsidR="00CF21AA"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3. В МБУ «Коммунальное хозяйство и благоустройство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0251D" w:rsidRPr="00F0251D" w:rsidRDefault="00F0251D" w:rsidP="00CF21A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3.1. В нарушение ст.11 Федерального закона от 06.12.2011 № 402-ФЗ «О бухгалтерском учете» при проведении  инвентаризации не выявлено фактическое наличие материальных ценностей, что ставит под сомнение достоверность бюджетной отчетности МБУ «Коммунальное хозяйство и благоустройство сельского поселения </w:t>
            </w:r>
            <w:proofErr w:type="spellStart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F025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53DA" w:rsidRDefault="00F0251D" w:rsidP="00F0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3.2. В нарушение п.2.5, п.2.6, п.2.10 и п.4.1 Приказа </w:t>
            </w:r>
            <w:r w:rsidR="00CF21A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="00CF21AA"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№ 49</w:t>
            </w:r>
            <w:r w:rsidR="00CF21AA"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t xml:space="preserve"> во всех инвентаризационных описях: отсутствуют сведения о фактическом наличии имущества; инвентаризационная комиссия не обеспечила полноту и точность внесения в описи данных о фактических остатках основных средств, запасов, товаров и другого имущества; в расписке, </w:t>
            </w:r>
            <w:r w:rsidRPr="00F0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подтверждающей проверку комиссией имущества в  присутствии материально-ответственного лица, не указаны номера материальных ценностей, внесенные в настоящие описи; не отражены результаты инвентаризации.</w:t>
            </w:r>
          </w:p>
        </w:tc>
        <w:tc>
          <w:tcPr>
            <w:tcW w:w="2977" w:type="dxa"/>
          </w:tcPr>
          <w:p w:rsidR="005A53DA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5A53DA" w:rsidRPr="006547E8" w:rsidRDefault="00CF21AA" w:rsidP="00C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CF21AA" w:rsidRPr="00CF21AA" w:rsidRDefault="00CF21AA" w:rsidP="00CF21A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1. В Администрации 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области:</w:t>
            </w:r>
          </w:p>
          <w:p w:rsidR="00CF21AA" w:rsidRPr="00CF21AA" w:rsidRDefault="00CF21AA" w:rsidP="00CF21A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1.1. Учетная политика сформирована с нарушением требований п.6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1AA" w:rsidRPr="00CF21AA" w:rsidRDefault="00CF21AA" w:rsidP="00C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1.2. В нарушение требований раздела VI Инструкции № 157н не велся бюджетный учет по счетам 050400000 и 050700000.</w:t>
            </w:r>
          </w:p>
          <w:p w:rsidR="00CF21AA" w:rsidRPr="00CF21AA" w:rsidRDefault="00CF21AA" w:rsidP="00CF21A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1.3. Установлены расхождения форм бюджетной отчетности с регистрами бухгалтерского учета: </w:t>
            </w:r>
          </w:p>
          <w:p w:rsidR="00CF21AA" w:rsidRPr="00CF21AA" w:rsidRDefault="00CF21AA" w:rsidP="00CF2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2. В МБУ «Благоустройство и развитие 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» установлено:</w:t>
            </w:r>
          </w:p>
          <w:p w:rsidR="00CF21AA" w:rsidRPr="00CF21AA" w:rsidRDefault="00CF21AA" w:rsidP="00CF21AA">
            <w:pPr>
              <w:tabs>
                <w:tab w:val="left" w:pos="540"/>
                <w:tab w:val="left" w:pos="10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2.1. В нарушение п.4 ст.69.2. </w:t>
            </w:r>
            <w:proofErr w:type="gram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Федерации, п.7 ст.9.2 Федерального закона от 12.01.1996 № 7-ФЗ «О некоммерческих организациях», п.12, п.13 Порядка формирования, финансового 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мониторинга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муниципального задания 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, п.2 Порядка определения объема и условий предоставления субсидий из бюджета 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учреждениям 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муниципального задания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, Соглашения от 11.01.2016</w:t>
            </w:r>
            <w:proofErr w:type="gram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  МБУ «Благоустройство и развитие сельского поселения </w:t>
            </w:r>
            <w:proofErr w:type="spellStart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» приняты и исполнены денежные обязательства по выполнению муниципального задания, финансово не обеспеченные средствами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1AA" w:rsidRPr="00CF21AA" w:rsidRDefault="00CF21AA" w:rsidP="00C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2.2. В нарушение п.109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Инструкция № 174н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увеличению расчетов по ущербу (недостачам) не оформлены бухгалтерскими записями.</w:t>
            </w:r>
          </w:p>
          <w:p w:rsidR="00CF21AA" w:rsidRPr="00CF21AA" w:rsidRDefault="00CF21AA" w:rsidP="00C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 xml:space="preserve">2.3. В нарушение п.312 Инструкции № 157н по завершении текущего финансового года показатели (остатки) по аналитическим счетам учета бюджетных ассигнований, лимитов 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обязательств, исполненных денежных обязательств и утвержденных сметных (плановых, прогнозных) назначений по доходам (поступлениям), расходам (выплатам) текущего финансового года (счета 050200000 – 050800000) перенесены на следующий год.</w:t>
            </w:r>
          </w:p>
          <w:p w:rsidR="005A53DA" w:rsidRDefault="00CF21AA" w:rsidP="00CF2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2.4. В ходе проверки установлены расхожде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F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сопоставлении данных бухгалтерской отчетности и Главной книгой.</w:t>
            </w:r>
          </w:p>
        </w:tc>
        <w:tc>
          <w:tcPr>
            <w:tcW w:w="2977" w:type="dxa"/>
          </w:tcPr>
          <w:p w:rsidR="005A53DA" w:rsidRDefault="00CF21A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  <w:r w:rsidR="0074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45A" w:rsidRDefault="0074745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Одинцовскую городскую прокуратуру.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5A53DA" w:rsidRPr="00FA6CA8" w:rsidTr="006547E8">
        <w:tc>
          <w:tcPr>
            <w:tcW w:w="675" w:type="dxa"/>
          </w:tcPr>
          <w:p w:rsidR="005A53DA" w:rsidRPr="00FA6CA8" w:rsidRDefault="005A53DA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5A53DA" w:rsidRPr="006547E8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Голицыно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5A53DA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CC5C78" w:rsidRPr="00CC5C78" w:rsidRDefault="00CC5C78" w:rsidP="00CC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1. В нарушение требований п.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п. 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 № 191н не заполнены сведения об исполнении текстовых статей закона (решения) о бюджете (Таблица № 3), не указаны, как не вошедшие в отчетность ввиду отсутствия числовых значений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отчетности. </w:t>
            </w:r>
          </w:p>
          <w:p w:rsidR="00CC5C78" w:rsidRPr="00CC5C78" w:rsidRDefault="00CC5C78" w:rsidP="00CC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ст. 8 Федерального закона от 06.12.2011 № 402-ФЗ       «О бухгалтерском учете», п.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 № 157н в рабочий план 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Учетной политике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Голицыно не включены счета 50400000 «Сметные (плановые, прогнозные) назначения», 5070000 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«Утвержденный объем финансового обеспечения».</w:t>
            </w:r>
          </w:p>
          <w:p w:rsidR="00CC5C78" w:rsidRPr="00CC5C78" w:rsidRDefault="00CC5C78" w:rsidP="00CC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3. В нарушение </w:t>
            </w:r>
            <w:proofErr w:type="spellStart"/>
            <w:r w:rsidRPr="00CC5C7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. 150-151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 № 162н данные по прогнозным (плановым) показателям доходов (поступлений) и утвержденный объем финансового обеспечения не учитывались Администрацией городского поселения Голицыно Одинцовского муниципального района Московской области на соответствующих счетах аналитического учета счета 050400000, 050700000.</w:t>
            </w:r>
          </w:p>
          <w:p w:rsidR="005A53DA" w:rsidRDefault="00CC5C78" w:rsidP="00CC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4. Вопреки требованиям п. </w:t>
            </w:r>
            <w:hyperlink r:id="rId8" w:history="1">
              <w:r w:rsidRPr="00CC5C78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CC5C7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инвентаризации имущества № 49, на инвентаризационных описях (ведомостях), составленных в ходе проведения в 2016 году годовой инвентаризации МБУ «Городское хозяйство «Голицыно», отсутствовали подписи всех членов инвентаризационной комиссии.</w:t>
            </w:r>
          </w:p>
        </w:tc>
        <w:tc>
          <w:tcPr>
            <w:tcW w:w="2977" w:type="dxa"/>
          </w:tcPr>
          <w:p w:rsidR="005A53DA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5A53DA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F0251D" w:rsidRPr="006547E8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Кубинка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за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984" w:type="dxa"/>
          </w:tcPr>
          <w:p w:rsidR="00F0251D" w:rsidRDefault="00CC5C7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828" w:type="dxa"/>
          </w:tcPr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нарушение требований п.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п. 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№ 191н в пояснительной записке к сводной отчетности казенных учреждений и бюджетной отчетности Совета депутатов городского поселения Кубинка: не отражена информация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формах бюджетной отчетности, которые не имеют числовых показателей; текстовая часть пояснительной записки составлена в произвольной форме, без выделения разделов.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п. 162 Инструкции № 191 н по сводной отчетности казенных учреждений городского поселения Кубинка проверке не представлена ф. 0503163 «Сведения об изменениях бюджетной росписи главного распорядителя бюджетных средств».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3. Вопреки требованиям п. 163 Инструкции № 191н по сводной отчетности казенных учреждений городского поселения Кубинка в                        ф. 0503164 «Сведения об исполнении бюджета» в графе 9 не указаны причины отклонений исполнения по расходам от доведенного финансовым органом планового объема исполнения, по которым процент исполненных бюджетных назначений составил менее 95%.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п. 1 ст. 13 Федерального закона от 06.12.2011                          № 402-ФЗ «О бухгалтерском учете»,  п. 20 Инструкции № 191н в Справке о наличии имущества и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 на </w:t>
            </w:r>
            <w:proofErr w:type="spellStart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в  сводной отчетности казенных учреждений городского поселения Кубинка               по строкам 250-252 не отражена стоимость муниципального имущества, переданного в аренду. 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5. В нарушение ст. 8 Федерального закона от 06.12.2011 № 402-ФЗ        «О бухгалтерском учете», п.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 № 157н в рабочий план счетов к Учетной политике, Администрации городского поселения Кубинка не включены счета 50400000 «Сметные (плановые, прогнозные) назначения», 5070000 «Утвержденный объем финансового обеспечения».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6. В нарушение </w:t>
            </w:r>
            <w:proofErr w:type="spellStart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. 150-151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 № 162н суммы данных по прогнозным (плановым) показателям доходов (поступлений) и утвержденный объем финансового обеспечения не учитывались Администрацией городского поселения Кубинка Одинцовского муниципального района Московской области на соответствующих счетах аналитического учета счета 050400000, 050700000.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7. Акты сверки произведены не по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контрагентам, что противоречит требованиям ст. 11 Федерального закона от 06.12.2011                         № 402-ФЗ «О бухгалтерском учете», Методических указаний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инвентаризации № 49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8. Администрацией городского поселения Кубинка допущены нарушения требований Методических указаний по инвентаризации № 49, устанавливающих порядок проведения инвентаризации имущества, числящегося на балансе. 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9. При проверке бюджетной отчетности Совета депутатов городского поселения Кубинка, а именно ф. 0503128 «Отчет о принятых бюджетных обязательствах» установлено, что вопреки п. 3 ст. 219 Бюджетного кодекса Российской Федерации приняты бюджетные обязательства в размерах, превышающих утвержденные бюджетные ассигнования и лимиты бюджетных обязательств.</w:t>
            </w:r>
          </w:p>
          <w:p w:rsidR="00F7439D" w:rsidRPr="00F7439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10. В 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. 12, 56,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 № 33н  по сводной отчетности бюджетных и автономных учреждений городского поселения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Кубинка проверке не представлена Пояснительная записка к Балансу учреждения (ф. 0503760), а также Таблицы  №1-7 к Пояснительной записке.</w:t>
            </w:r>
          </w:p>
          <w:p w:rsidR="00F0251D" w:rsidRDefault="00F7439D" w:rsidP="00F7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7439D">
              <w:rPr>
                <w:rFonts w:ascii="Times New Roman" w:hAnsi="Times New Roman" w:cs="Times New Roman"/>
                <w:sz w:val="24"/>
                <w:szCs w:val="24"/>
              </w:rPr>
              <w:t xml:space="preserve">. 65.1, 66 Инструкции №33н в рамках проверки сводной отчетности бюджетных  и автономных учреждений проверке не представлена ф. 0503762 «Сведения о результатах деятельности учреждения по исполнению государственного (муниципального) задания»,     </w:t>
            </w:r>
            <w:r w:rsidR="00A90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ф. 0503766 «Сведения об исполнении мероприятий в рамках субсидий на иные цели и на цели осуществления капитальных вложений».</w:t>
            </w:r>
            <w:proofErr w:type="gramEnd"/>
          </w:p>
        </w:tc>
        <w:tc>
          <w:tcPr>
            <w:tcW w:w="2977" w:type="dxa"/>
          </w:tcPr>
          <w:p w:rsidR="00F0251D" w:rsidRDefault="00F7439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F0251D" w:rsidRPr="006547E8" w:rsidRDefault="00F7439D" w:rsidP="00F7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Заречье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F0251D" w:rsidRDefault="00A90CD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A90CD9" w:rsidRPr="00A90CD9" w:rsidRDefault="00A90CD9" w:rsidP="00A9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>1. В бухгалтерском учете Совета депутатов городского поселения Заречье, в нарушение п. 367 Инструкции №157н, выявлено отрицательное кредитовое сальдо</w:t>
            </w:r>
            <w:r w:rsidR="005D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счету </w:t>
            </w: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>18.01 «Выбытие денежных средств».</w:t>
            </w:r>
          </w:p>
          <w:p w:rsidR="00A90CD9" w:rsidRPr="00A90CD9" w:rsidRDefault="00A90CD9" w:rsidP="00A9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</w:t>
            </w:r>
            <w:hyperlink r:id="rId9" w:history="1">
              <w:r w:rsidRPr="00A90CD9">
                <w:rPr>
                  <w:rFonts w:ascii="Times New Roman" w:hAnsi="Times New Roman" w:cs="Times New Roman"/>
                  <w:sz w:val="24"/>
                  <w:szCs w:val="24"/>
                </w:rPr>
                <w:t>ст. 11</w:t>
              </w:r>
            </w:hyperlink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06.12.2011 № 402-ФЗ "О бухгалтерском учете", </w:t>
            </w:r>
            <w:hyperlink r:id="rId10" w:history="1">
              <w:r w:rsidRPr="00A90CD9">
                <w:rPr>
                  <w:rFonts w:ascii="Times New Roman" w:hAnsi="Times New Roman" w:cs="Times New Roman"/>
                  <w:sz w:val="24"/>
                  <w:szCs w:val="24"/>
                </w:rPr>
                <w:t>п. 7</w:t>
              </w:r>
            </w:hyperlink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191н,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90CD9">
                <w:rPr>
                  <w:rFonts w:ascii="Times New Roman" w:hAnsi="Times New Roman" w:cs="Times New Roman"/>
                  <w:sz w:val="24"/>
                  <w:szCs w:val="24"/>
                </w:rPr>
                <w:t>п. 1.5</w:t>
              </w:r>
            </w:hyperlink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Методических указаний по инвентаризации № 49</w:t>
            </w: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, по  Совету </w:t>
            </w:r>
            <w:r w:rsidRPr="00A9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городского поселения Заречье инвентаризация финансовых активов и обязательств не проводилась.</w:t>
            </w:r>
          </w:p>
          <w:p w:rsidR="00A90CD9" w:rsidRPr="00A90CD9" w:rsidRDefault="00A90CD9" w:rsidP="00A9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>3. В Отчете об обязательствах, принятых учреждением (ф.0503738)   МБУ КЦ «Заречье», не заполнены графы 5 и 7, что является нарушением    п.3 ст.48 Инструкции № 33н.</w:t>
            </w:r>
          </w:p>
          <w:p w:rsidR="00A90CD9" w:rsidRPr="00A90CD9" w:rsidRDefault="00A90CD9" w:rsidP="00A9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</w:t>
            </w:r>
            <w:proofErr w:type="spellStart"/>
            <w:r w:rsidRPr="00A90CD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. 3.44, 3.48 Методических указаний по инвентаризации имущества и финансовых обязательств, утвержденных Приказом Минфина России от 13.06.1995 </w:t>
            </w:r>
            <w:r w:rsidR="005D2F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№ 49, в МБУ КДЦ «Заречье» имеется  наличие актов сверок взаимных расчетов, не подтвержденных подписями дебиторов и кредиторов. </w:t>
            </w:r>
          </w:p>
          <w:p w:rsidR="00F0251D" w:rsidRPr="005D2FE2" w:rsidRDefault="00A90CD9" w:rsidP="005D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9">
              <w:rPr>
                <w:rFonts w:ascii="Times New Roman" w:hAnsi="Times New Roman" w:cs="Times New Roman"/>
                <w:sz w:val="24"/>
                <w:szCs w:val="24"/>
              </w:rPr>
              <w:t xml:space="preserve">5. В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 Минфина России от 25.03.2011, некорректно заполнены титульные листы Пояснительной записки (ф.0503760), Справки по </w:t>
            </w:r>
            <w:r w:rsidRPr="00A9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</w:t>
            </w:r>
            <w:r w:rsidR="005D2FE2">
              <w:rPr>
                <w:rFonts w:ascii="Times New Roman" w:hAnsi="Times New Roman" w:cs="Times New Roman"/>
                <w:sz w:val="24"/>
                <w:szCs w:val="24"/>
              </w:rPr>
              <w:t xml:space="preserve">дируемым расчетам (ф.0503725) МБУ КДЦ «Заречье». </w:t>
            </w:r>
          </w:p>
        </w:tc>
        <w:tc>
          <w:tcPr>
            <w:tcW w:w="2977" w:type="dxa"/>
          </w:tcPr>
          <w:p w:rsidR="00F0251D" w:rsidRDefault="005D2FE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F0251D" w:rsidRPr="006547E8" w:rsidRDefault="005D2FE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F0251D" w:rsidRDefault="005D2FE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5D2FE2" w:rsidRPr="005D2FE2" w:rsidRDefault="005D2FE2" w:rsidP="005D2FE2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1. В нарушение </w:t>
            </w:r>
            <w:proofErr w:type="spellStart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. 3.44, 3.48 </w:t>
            </w:r>
            <w:r w:rsidRPr="00F7439D">
              <w:rPr>
                <w:rFonts w:ascii="Times New Roman" w:hAnsi="Times New Roman" w:cs="Times New Roman"/>
                <w:sz w:val="24"/>
                <w:szCs w:val="24"/>
              </w:rPr>
              <w:t>Методических указаний по инвентаризации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акты сверок взаимных расчетов, не подтверждены подписями дебиторов и кредиторов (акты находятся на подписании у контрагентов). </w:t>
            </w:r>
          </w:p>
          <w:p w:rsidR="005D2FE2" w:rsidRDefault="005D2FE2" w:rsidP="005D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</w:t>
            </w:r>
            <w:hyperlink r:id="rId12" w:history="1">
              <w:r w:rsidRPr="005D2FE2">
                <w:rPr>
                  <w:rFonts w:ascii="Times New Roman" w:hAnsi="Times New Roman" w:cs="Times New Roman"/>
                  <w:sz w:val="24"/>
                  <w:szCs w:val="24"/>
                </w:rPr>
                <w:t>п. 381</w:t>
              </w:r>
            </w:hyperlink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№ 157н </w:t>
            </w: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бухгалтерском учете имущество, переданное в аренду, не отражено на </w:t>
            </w:r>
            <w:proofErr w:type="spellStart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 счете 25 «Имущество, переданное в возмездное пользование (аренду)».</w:t>
            </w:r>
          </w:p>
          <w:p w:rsidR="00F0251D" w:rsidRDefault="005D2FE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3. В нарушение ч.1 ст.13 Федерального закона от 06.12.2011 № </w:t>
            </w:r>
            <w:r w:rsidR="00480D02">
              <w:rPr>
                <w:rFonts w:ascii="Times New Roman" w:hAnsi="Times New Roman" w:cs="Times New Roman"/>
                <w:sz w:val="24"/>
                <w:szCs w:val="24"/>
              </w:rPr>
              <w:t>402-ФЗ «О бухгалтерском учете»,</w:t>
            </w: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 п.20 </w:t>
            </w:r>
            <w:r w:rsidR="00480D02">
              <w:rPr>
                <w:rFonts w:ascii="Times New Roman" w:hAnsi="Times New Roman" w:cs="Times New Roman"/>
                <w:sz w:val="24"/>
                <w:szCs w:val="24"/>
              </w:rPr>
              <w:t>Инструкции № 191н</w:t>
            </w:r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, в Справке о наличии имущества и обязательств на </w:t>
            </w:r>
            <w:proofErr w:type="spellStart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5D2FE2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не отражена по строкам 250-252 стоимость муниципального им</w:t>
            </w:r>
            <w:r w:rsidR="00480D02">
              <w:rPr>
                <w:rFonts w:ascii="Times New Roman" w:hAnsi="Times New Roman" w:cs="Times New Roman"/>
                <w:sz w:val="24"/>
                <w:szCs w:val="24"/>
              </w:rPr>
              <w:t xml:space="preserve">ущества, переданного в аренду. </w:t>
            </w:r>
          </w:p>
        </w:tc>
        <w:tc>
          <w:tcPr>
            <w:tcW w:w="2977" w:type="dxa"/>
          </w:tcPr>
          <w:p w:rsidR="00F0251D" w:rsidRDefault="00480D0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0251D" w:rsidRPr="006547E8" w:rsidRDefault="00480D02" w:rsidP="0048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за 2016 год</w:t>
            </w:r>
          </w:p>
        </w:tc>
        <w:tc>
          <w:tcPr>
            <w:tcW w:w="1984" w:type="dxa"/>
          </w:tcPr>
          <w:p w:rsidR="00F0251D" w:rsidRDefault="00480D0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о МБУК КТ «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культуры»: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- в нарушение  п.17 Положения по бухгалтерскому учету "Бухгалтерская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организации" (ПБУ 4/99)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, п.38 Положения по ведению бухгалтерского учета и бухгалтерской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в Российской Федерации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№ 34н, бухгалтерская отчетность МБУК КТ «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 дом культуры»  не подписана руководителем МКУ «Централизованная бухгалтерия муниципальных учреждений Одинцовского муниципального района Московской области» или лицом, ведущим бухгалтерский учет МБУК КТ «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сельский</w:t>
            </w:r>
            <w:proofErr w:type="gram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культуры»;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Отчете об обязательствах, принятых учреждением (ф.0503738) не заполнены графы 5, 7, что является нарушением п.3 ст.48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№ 33н;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имущества и обязательств на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(ф.0503730) сформирована без учета изменений и дополнений, внесенных Приказом Минфина России от 16.11.2016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№ 209н в п.21 Инструкции  № 33н;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п.56, п.10 Инструкции № 33н в текстовой части Пояснительной записки (ф.0503760) в разделе 2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«Результаты деятельности учреждения» не раскрыта информация о ресурсах (численность работников, стоимость имущества, расходы, объемы закупок и т.д.), в разделе 5 «Прочие вопросы деятельности учреждения» отсутствует перечень форм, не включенных в состав бухгалтерской отчетности учреждения ввиду отсутствия числовых значений показателей;</w:t>
            </w:r>
            <w:proofErr w:type="gramEnd"/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о Совету депутатов сельского поселения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п.8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191н к проверке предоставлены  Сведения об исполнении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рамках целевых программ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80D02">
                <w:rPr>
                  <w:rFonts w:ascii="Times New Roman" w:hAnsi="Times New Roman" w:cs="Times New Roman"/>
                  <w:sz w:val="24"/>
                  <w:szCs w:val="24"/>
                </w:rPr>
                <w:t>(ф.0503166)</w:t>
              </w:r>
            </w:hyperlink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, не имеющие числовых значений;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- в нарушение п.152, п.154 Инструкции № 191н к проверке не предоставлены  "Сведения о мерах по повышению эффективности расходования бюджетных средств" (</w:t>
            </w:r>
            <w:hyperlink r:id="rId14" w:history="1">
              <w:r w:rsidRPr="00480D02">
                <w:rPr>
                  <w:rFonts w:ascii="Times New Roman" w:hAnsi="Times New Roman" w:cs="Times New Roman"/>
                  <w:sz w:val="24"/>
                  <w:szCs w:val="24"/>
                </w:rPr>
                <w:t>Таблица N 2</w:t>
              </w:r>
            </w:hyperlink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), Сведения о результатах мероприятий внутреннего государственного (муниципального) финансового контроля </w:t>
            </w:r>
            <w:hyperlink r:id="rId15" w:history="1">
              <w:r w:rsidRPr="00480D02">
                <w:rPr>
                  <w:rFonts w:ascii="Times New Roman" w:hAnsi="Times New Roman" w:cs="Times New Roman"/>
                  <w:sz w:val="24"/>
                  <w:szCs w:val="24"/>
                </w:rPr>
                <w:t>(Таблица N 5)</w:t>
              </w:r>
            </w:hyperlink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результатах внешнего государственного (муниципального) финансового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  <w:hyperlink r:id="rId16" w:history="1">
              <w:r w:rsidRPr="00480D02">
                <w:rPr>
                  <w:rFonts w:ascii="Times New Roman" w:hAnsi="Times New Roman" w:cs="Times New Roman"/>
                  <w:sz w:val="24"/>
                  <w:szCs w:val="24"/>
                </w:rPr>
                <w:t>(Таблица N 7)</w:t>
              </w:r>
            </w:hyperlink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о Администрации сельского поселения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          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№ 157н, Рабочего плана счетов бюджетного учета, применяемого в Администрации сельского поселения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района, в соответствии с Учетной политикой Администрации сельского поселения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, в Администрации сельского поселения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не ведется учет по счету 050400000 «Сметные (плановые, прогнозные) назначения» и счету 050700000 «Утвержденный объем финансового обеспечения»;</w:t>
            </w:r>
            <w:proofErr w:type="gramEnd"/>
          </w:p>
          <w:p w:rsidR="00480D02" w:rsidRPr="00480D02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таблице № 5 «Сведения о результатах мероприятий внутреннего государственного (муниципального) финансового контроля» к Пояснительной записке (ф.0503160) в нарушение </w:t>
            </w:r>
            <w:proofErr w:type="spellStart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80D02">
              <w:rPr>
                <w:rFonts w:ascii="Times New Roman" w:hAnsi="Times New Roman" w:cs="Times New Roman"/>
                <w:sz w:val="24"/>
                <w:szCs w:val="24"/>
              </w:rPr>
              <w:t>. 157, 158 Инструкции № 191н ошибочно отражена информация о проведенной инвентаризации при смене материального лица;</w:t>
            </w:r>
          </w:p>
          <w:p w:rsidR="00F0251D" w:rsidRDefault="00480D02" w:rsidP="0048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ст.11 Федерального закона от 03.12.2011 № 402-ФЗ            «О бухгалтерском учете», п. 3.44, 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п.3.48 Методических указаний по инвентаризации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  <w:r w:rsidRPr="00480D02">
              <w:rPr>
                <w:rFonts w:ascii="Times New Roman" w:hAnsi="Times New Roman" w:cs="Times New Roman"/>
                <w:sz w:val="24"/>
                <w:szCs w:val="24"/>
              </w:rPr>
              <w:t xml:space="preserve"> имеется  наличие актов сверок взаимных расчетов, не подтвержденных подписями дебиторов и кредиторов. </w:t>
            </w:r>
          </w:p>
        </w:tc>
        <w:tc>
          <w:tcPr>
            <w:tcW w:w="2977" w:type="dxa"/>
          </w:tcPr>
          <w:p w:rsidR="00F0251D" w:rsidRPr="00480D02" w:rsidRDefault="00480D02" w:rsidP="008D0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F0251D" w:rsidRPr="006547E8" w:rsidRDefault="00CA2796" w:rsidP="00C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Одинцово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F0251D" w:rsidRDefault="00CA279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CA2796" w:rsidRPr="00CA2796" w:rsidRDefault="00CA2796" w:rsidP="00CA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6365">
              <w:rPr>
                <w:rFonts w:ascii="Times New Roman" w:hAnsi="Times New Roman" w:cs="Times New Roman"/>
                <w:sz w:val="24"/>
                <w:szCs w:val="24"/>
              </w:rPr>
              <w:t xml:space="preserve">МАУС «Одинцовский спортивно-зрелищный комплекс»: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п.2.6, п.2.9 Методических указаний</w:t>
            </w:r>
            <w:r w:rsidR="00D46365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инвентаризации № 49</w:t>
            </w:r>
            <w:r w:rsidRPr="00CA2796">
              <w:rPr>
                <w:rFonts w:ascii="Times New Roman" w:hAnsi="Times New Roman" w:cs="Times New Roman"/>
                <w:sz w:val="24"/>
                <w:szCs w:val="24"/>
              </w:rPr>
              <w:t>, в инвентаризационных описях (сличительных ведомостях) имеется наличие ведомостей, где отсутствует заключение инвентаризационной комиссии, не указано структурное подразделение, по которому проводилась инвентаризация, в инвентаризационных описях имеются незаполненные строки, не указана должность материально-ответственного лица, не указано место проведения инвентаризации, не указано фактическое наличие инвентаризируемых ценностей, как в</w:t>
            </w:r>
            <w:proofErr w:type="gramEnd"/>
            <w:r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количественном, так и в суммовом значениях;</w:t>
            </w:r>
          </w:p>
          <w:p w:rsidR="00CA2796" w:rsidRPr="00CA2796" w:rsidRDefault="00D46365" w:rsidP="00CA2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Приказа Минфина России от 30.03.2015 № 52н             «Об утверждении форм первичных учетных документов и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инвентаризационных ведомостях бланков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строгой отчетности (ф.0504086)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не указан номер и дата приказа о проведении инвентаризации, дата начала</w:t>
            </w:r>
            <w:proofErr w:type="gramEnd"/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окончания проведения инвентаризации;</w:t>
            </w:r>
          </w:p>
          <w:p w:rsidR="00CA2796" w:rsidRPr="00CA2796" w:rsidRDefault="00D46365" w:rsidP="00CA2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в инвентаризационной описи расчетов с покупателями, поставщиками и прочими дебиторами и кредиторами (ф.0504089) вся дебиторская и кредиторская задолженность указана как подтвержденная дебиторами и кредиторами, в тоже время актами сверки задолженность подтверждена не всеми дебиторами и кредиторами, что является нарушением ст.11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акона от 03.12.2011 № 402-ФЗ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«О бухгалтерском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учете», п. 3.44, п.3.48 Методических указаний по инвентаризации № 49;</w:t>
            </w:r>
            <w:proofErr w:type="gramEnd"/>
          </w:p>
          <w:p w:rsidR="00CA2796" w:rsidRPr="00CA2796" w:rsidRDefault="00D46365" w:rsidP="00CA2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17" w:history="1">
              <w:proofErr w:type="spellStart"/>
              <w:r w:rsidR="00CA2796" w:rsidRPr="00CA2796">
                <w:rPr>
                  <w:rFonts w:ascii="Times New Roman" w:hAnsi="Times New Roman" w:cs="Times New Roman"/>
                  <w:sz w:val="24"/>
                  <w:szCs w:val="24"/>
                </w:rPr>
                <w:t>п.п</w:t>
              </w:r>
              <w:proofErr w:type="spellEnd"/>
              <w:r w:rsidR="00CA2796" w:rsidRPr="00CA2796">
                <w:rPr>
                  <w:rFonts w:ascii="Times New Roman" w:hAnsi="Times New Roman" w:cs="Times New Roman"/>
                  <w:sz w:val="24"/>
                  <w:szCs w:val="24"/>
                </w:rPr>
                <w:t>. 56</w:t>
              </w:r>
            </w:hyperlink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" w:history="1">
              <w:r w:rsidR="00CA2796" w:rsidRPr="00CA2796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33н текстовая часть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19" w:history="1">
              <w:r w:rsidR="00CA2796" w:rsidRPr="00CA2796">
                <w:rPr>
                  <w:rFonts w:ascii="Times New Roman" w:hAnsi="Times New Roman" w:cs="Times New Roman"/>
                  <w:sz w:val="24"/>
                  <w:szCs w:val="24"/>
                </w:rPr>
                <w:t>(ф. 0503760)</w:t>
              </w:r>
            </w:hyperlink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учреждением в произвольной форме;</w:t>
            </w:r>
          </w:p>
          <w:p w:rsidR="00CA2796" w:rsidRPr="00CA2796" w:rsidRDefault="00D46365" w:rsidP="00CA2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п.56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№ 33н в пояснительной записке (ф.0503760) не отражена информация о формах бюджетной отчетности (ф. 0503761, ф.0503767, ф.0503295), не вошедших в состав бюджетной отчетности в связи с отсутствием числовых значений;</w:t>
            </w:r>
          </w:p>
          <w:p w:rsidR="00CA2796" w:rsidRPr="00CA2796" w:rsidRDefault="00D46365" w:rsidP="00CA2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Администрации городского поселения Одинцово:                               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в нарушение п.2.9 Методических указаний по инвентаризации № 49 в инвентаризационной описи (сличительной ведомости) на последней странице описи не сделаны отметки об общем фактическом наличии имущества в единицах, а также в суммовом выражении;</w:t>
            </w:r>
          </w:p>
          <w:p w:rsidR="00CA2796" w:rsidRPr="00CA2796" w:rsidRDefault="00D46365" w:rsidP="00CA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в Учетной политике Администрации городского поселения Одинцово Одинцовского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>имеется наличие ссылок на документы, утратившие силу;</w:t>
            </w:r>
          </w:p>
          <w:p w:rsidR="00CA2796" w:rsidRPr="00CA2796" w:rsidRDefault="00D46365" w:rsidP="00CA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12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№ 33н в составе бюджетной отчетности представлена пояснительная записка (ф.0503160), а не ф.0503760; </w:t>
            </w:r>
          </w:p>
          <w:p w:rsidR="00F0251D" w:rsidRDefault="00D46365" w:rsidP="00D4636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796" w:rsidRPr="00CA2796">
              <w:rPr>
                <w:rFonts w:ascii="Times New Roman" w:hAnsi="Times New Roman" w:cs="Times New Roman"/>
                <w:sz w:val="24"/>
                <w:szCs w:val="24"/>
              </w:rPr>
              <w:t xml:space="preserve"> в Сведениях о принятых и неисполненных обязательствах получателя бюджетных средств (ф.0503175) в графе 12 по коду «99» (иные причины) информация о причинах возникновения кредиторской задолженности не раскрыта, что является нарушением п. 171.2.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28.12.2010 № 191н.</w:t>
            </w:r>
          </w:p>
        </w:tc>
        <w:tc>
          <w:tcPr>
            <w:tcW w:w="2977" w:type="dxa"/>
          </w:tcPr>
          <w:p w:rsidR="00F0251D" w:rsidRDefault="00D46365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F0251D" w:rsidRPr="00FA6CA8" w:rsidTr="006547E8">
        <w:tc>
          <w:tcPr>
            <w:tcW w:w="675" w:type="dxa"/>
          </w:tcPr>
          <w:p w:rsidR="00F0251D" w:rsidRDefault="00F0251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F0251D" w:rsidRPr="006547E8" w:rsidRDefault="00D46365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Лесной городок 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за 2016 год</w:t>
            </w:r>
          </w:p>
        </w:tc>
        <w:tc>
          <w:tcPr>
            <w:tcW w:w="1984" w:type="dxa"/>
          </w:tcPr>
          <w:p w:rsidR="00F0251D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828" w:type="dxa"/>
          </w:tcPr>
          <w:p w:rsid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п.8,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№191н в пояснительной записке (ф.0503160) не отражена информация о формах бюджетной отчетности,  не вошедших  в состав бюджетной отчетности в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отсутствием числовых значений.</w:t>
            </w:r>
          </w:p>
          <w:p w:rsid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№191н текстовая часть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(ф. 0503160) составлена без выделения разделов, в составе пояснительной записки (форма 0503160) не представлены сведения о результатах мероприятий внутреннего государственного (муниципального) финансового контроля </w:t>
            </w:r>
            <w:hyperlink r:id="rId20" w:history="1">
              <w:r w:rsidRPr="00D46365">
                <w:rPr>
                  <w:rFonts w:ascii="Times New Roman" w:hAnsi="Times New Roman" w:cs="Times New Roman"/>
                  <w:sz w:val="24"/>
                  <w:szCs w:val="24"/>
                </w:rPr>
                <w:t>(Таблица N 5)</w:t>
              </w:r>
            </w:hyperlink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инвентаризаций </w:t>
            </w:r>
            <w:hyperlink r:id="rId21" w:history="1">
              <w:r w:rsidRPr="00D46365">
                <w:rPr>
                  <w:rFonts w:ascii="Times New Roman" w:hAnsi="Times New Roman" w:cs="Times New Roman"/>
                  <w:sz w:val="24"/>
                  <w:szCs w:val="24"/>
                </w:rPr>
                <w:t>(Таблица N 6)</w:t>
              </w:r>
            </w:hyperlink>
            <w:r w:rsidRPr="00D4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п.174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 №191н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текстовой части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hyperlink r:id="rId22" w:history="1">
              <w:r w:rsidRPr="00D46365">
                <w:rPr>
                  <w:rFonts w:ascii="Times New Roman" w:hAnsi="Times New Roman" w:cs="Times New Roman"/>
                  <w:sz w:val="24"/>
                  <w:szCs w:val="24"/>
                </w:rPr>
                <w:t>(ф. 0503160)</w:t>
              </w:r>
            </w:hyperlink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не раскрывается информация о задолженности по исполнительным документам и правовом основании ее возникновения, отраженная в сведениях об исполнении судебных решений по денежным обязательствам бюджета (ф.0503296).</w:t>
            </w:r>
          </w:p>
          <w:p w:rsid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 xml:space="preserve">В нарушение п.381, п.382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 xml:space="preserve">№ 157н  на </w:t>
            </w:r>
            <w:proofErr w:type="spellStart"/>
            <w:r w:rsidRPr="00D46365">
              <w:rPr>
                <w:rFonts w:ascii="Times New Roman" w:hAnsi="Times New Roman"/>
                <w:sz w:val="24"/>
                <w:szCs w:val="24"/>
              </w:rPr>
              <w:t>забалансовом</w:t>
            </w:r>
            <w:proofErr w:type="spellEnd"/>
            <w:r w:rsidRPr="00D46365">
              <w:rPr>
                <w:rFonts w:ascii="Times New Roman" w:hAnsi="Times New Roman"/>
                <w:sz w:val="24"/>
                <w:szCs w:val="24"/>
              </w:rPr>
              <w:t xml:space="preserve"> счете 25 «Имущество, переданное в возмездное пользование (аренду)» </w:t>
            </w:r>
            <w:r w:rsidRPr="00D463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отражено имущество, предоставленное в возмездное пользование (аренду) по договорам аренды нежилых помещений, аналитический учет по счету 25 в карточке количественно-суммового учета материальных ценностей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>(ф. 0504041) в разрезе арендаторов (</w:t>
            </w:r>
            <w:proofErr w:type="gramStart"/>
            <w:r w:rsidRPr="00D46365">
              <w:rPr>
                <w:rFonts w:ascii="Times New Roman" w:hAnsi="Times New Roman"/>
                <w:sz w:val="24"/>
                <w:szCs w:val="24"/>
              </w:rPr>
              <w:t xml:space="preserve">пользователей) </w:t>
            </w:r>
            <w:proofErr w:type="gramEnd"/>
            <w:r w:rsidRPr="00D46365">
              <w:rPr>
                <w:rFonts w:ascii="Times New Roman" w:hAnsi="Times New Roman"/>
                <w:sz w:val="24"/>
                <w:szCs w:val="24"/>
              </w:rPr>
              <w:t>имущества не велся.</w:t>
            </w:r>
          </w:p>
          <w:p w:rsid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 ст. 13 Федерального закона от 06.12.2011                          № 402-ФЗ «О бухгалтерском учете»,  п.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№191н в Справке о наличии имущества и обязательств на </w:t>
            </w:r>
            <w:proofErr w:type="spellStart"/>
            <w:r w:rsidRPr="00D46365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по строкам 250-252 не отражена стоимость муниципального имущества, переданного в аренду.</w:t>
            </w:r>
          </w:p>
          <w:p w:rsidR="00D46365" w:rsidRPr="00D46365" w:rsidRDefault="00D46365" w:rsidP="00D46365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 xml:space="preserve">В нарушение ст. 11 Федерального закона от 06.12.2011 № 402-ФЗ «О бухгалтерском учете», п. 3.44 </w:t>
            </w:r>
            <w:r w:rsidR="00690209" w:rsidRPr="00CA2796">
              <w:rPr>
                <w:rFonts w:ascii="Times New Roman" w:hAnsi="Times New Roman" w:cs="Times New Roman"/>
                <w:sz w:val="24"/>
                <w:szCs w:val="24"/>
              </w:rPr>
              <w:t>Методических указаний по инвентаризации № 49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 xml:space="preserve"> акты сверки произведены не по всем дебиторам, кредиторам, внебюджетным фондам.</w:t>
            </w:r>
          </w:p>
          <w:p w:rsid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№ 33н текстовая часть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(ф. 0503760) составлена без 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разделов.</w:t>
            </w:r>
          </w:p>
          <w:p w:rsidR="00F0251D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№ 33н в составе пояснительной записки (ф.0503760) не представлены сведения о результатах мероприятий внутреннего государственного (муниципального) финансового контроля </w:t>
            </w:r>
            <w:hyperlink r:id="rId23" w:history="1">
              <w:r w:rsidR="00D46365" w:rsidRPr="00D46365">
                <w:rPr>
                  <w:rFonts w:ascii="Times New Roman" w:hAnsi="Times New Roman" w:cs="Times New Roman"/>
                  <w:sz w:val="24"/>
                  <w:szCs w:val="24"/>
                </w:rPr>
                <w:t>(Таблица N 5)</w:t>
              </w:r>
            </w:hyperlink>
            <w:r w:rsidR="00D46365" w:rsidRPr="00D46365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результатах мероприятий внешнего государственного (муниципального) финансового контроля </w:t>
            </w:r>
            <w:hyperlink r:id="rId24" w:history="1">
              <w:r w:rsidR="00D46365" w:rsidRPr="00D46365">
                <w:rPr>
                  <w:rFonts w:ascii="Times New Roman" w:hAnsi="Times New Roman" w:cs="Times New Roman"/>
                  <w:sz w:val="24"/>
                  <w:szCs w:val="24"/>
                </w:rPr>
                <w:t>(Таблица N 7)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0251D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F0251D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690209" w:rsidRPr="00FA6CA8" w:rsidTr="006547E8">
        <w:tc>
          <w:tcPr>
            <w:tcW w:w="675" w:type="dxa"/>
          </w:tcPr>
          <w:p w:rsidR="00690209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690209" w:rsidRPr="006547E8" w:rsidRDefault="00690209" w:rsidP="006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городского поселения Большие Вяземы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690209" w:rsidRDefault="00690209" w:rsidP="0083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690209" w:rsidRP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п.8,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№191н в пояснительной записке (ф.0503160) не отражена информация о формах бюджетной отчетности,  не вошедших  в состав бюджетной отчетности в связи с отсутствием числовых значений.</w:t>
            </w:r>
          </w:p>
          <w:p w:rsidR="00690209" w:rsidRP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№191н текстовая часть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(ф. 0503160) составлена без выделения разделов, в произвольной форме.</w:t>
            </w:r>
          </w:p>
          <w:p w:rsidR="00690209" w:rsidRP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п.174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№191н  не представлены Сведения об исполнении судебных решений по денежным обязательствам бюджета </w:t>
            </w:r>
            <w:hyperlink r:id="rId25" w:history="1">
              <w:r w:rsidRPr="00690209">
                <w:rPr>
                  <w:rFonts w:ascii="Times New Roman" w:hAnsi="Times New Roman" w:cs="Times New Roman"/>
                  <w:sz w:val="24"/>
                  <w:szCs w:val="24"/>
                </w:rPr>
                <w:t>(ф. 0503296)</w:t>
              </w:r>
            </w:hyperlink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209" w:rsidRPr="00690209" w:rsidRDefault="00690209" w:rsidP="00690209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4.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В нарушение п.п.152, 153, 154, 155, 156, 157, 158, 159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Инструкции №191н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 в составе пояснительной записки отсутствуют таблицы, предусмотренные данной инструкцией.</w:t>
            </w:r>
          </w:p>
          <w:p w:rsidR="00690209" w:rsidRP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п.7, п.71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№191н установлены расхождения между данными Главной книги по счетам аналитического учета и формами бюджетной отчетности.</w:t>
            </w:r>
          </w:p>
          <w:p w:rsidR="00690209" w:rsidRPr="00690209" w:rsidRDefault="00690209" w:rsidP="0069020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 ст. 13 Федерального закона от 06.12.2011                          № 402-ФЗ «О бухгалтерском учете»,  п.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№191н в Справке о наличии имущества и обязательств на </w:t>
            </w:r>
            <w:proofErr w:type="spellStart"/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по строкам 250-252 не отражена стоимость муниципального имущества, переданного в аренду.</w:t>
            </w:r>
          </w:p>
          <w:p w:rsidR="00690209" w:rsidRPr="00690209" w:rsidRDefault="00690209" w:rsidP="0069020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>В нарушение ст. 11 Федеральног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закона от 06.12.2011 № 402-ФЗ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 «О бухгалтерском учете», п. 3.44 </w:t>
            </w:r>
            <w:r w:rsidRPr="00CA2796">
              <w:rPr>
                <w:rFonts w:ascii="Times New Roman" w:hAnsi="Times New Roman"/>
                <w:sz w:val="24"/>
                <w:szCs w:val="24"/>
              </w:rPr>
              <w:t>Методических указаний по инвентаризации № 49</w:t>
            </w:r>
            <w:r w:rsidRPr="00D46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 акты сверки произведены не по всем дебиторам, кредиторам.</w:t>
            </w:r>
          </w:p>
          <w:p w:rsidR="00690209" w:rsidRPr="00690209" w:rsidRDefault="00690209" w:rsidP="0069020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«Санкционирование расходов экономического субъекта»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Инструкции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 № 157н Администрацией городского поселения Большие Вяземы санкционирование расходов в учете в полном объеме не отражалось.</w:t>
            </w:r>
          </w:p>
          <w:p w:rsidR="00690209" w:rsidRPr="00690209" w:rsidRDefault="00690209" w:rsidP="0069020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9. 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Администрацией городского поселения Большие Вяземы, Советом депутатов  городского поселения Большие Вяземы допущены нарушения требований </w:t>
            </w:r>
            <w:r w:rsidRPr="00CA2796">
              <w:rPr>
                <w:rFonts w:ascii="Times New Roman" w:hAnsi="Times New Roman"/>
                <w:sz w:val="24"/>
                <w:szCs w:val="24"/>
              </w:rPr>
              <w:t>Методических указаний по инвентаризации № 49</w:t>
            </w:r>
            <w:r w:rsidRPr="00690209">
              <w:rPr>
                <w:rFonts w:ascii="Times New Roman" w:eastAsiaTheme="minorHAnsi" w:hAnsi="Times New Roman"/>
                <w:sz w:val="24"/>
                <w:szCs w:val="24"/>
              </w:rPr>
              <w:t>, устанавливающих порядок проведения инвентаризации имущества, числящегося на балансе.</w:t>
            </w:r>
          </w:p>
          <w:p w:rsidR="00690209" w:rsidRDefault="00690209" w:rsidP="00690209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56, п.58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№ 33н  пояснительная записка (ф.0503760) составлена без выделения разделов, в пояснительной записке (ф.0503760) не отражена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бюджетной отчетности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 xml:space="preserve">(ф. 0503761,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ф. 0503767, ф.0503772).</w:t>
            </w:r>
          </w:p>
        </w:tc>
        <w:tc>
          <w:tcPr>
            <w:tcW w:w="2977" w:type="dxa"/>
          </w:tcPr>
          <w:p w:rsidR="00690209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690209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</w:p>
        </w:tc>
      </w:tr>
      <w:tr w:rsidR="00690209" w:rsidRPr="00FA6CA8" w:rsidTr="006547E8">
        <w:tc>
          <w:tcPr>
            <w:tcW w:w="675" w:type="dxa"/>
          </w:tcPr>
          <w:p w:rsidR="00690209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690209" w:rsidRPr="006547E8" w:rsidRDefault="0083246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за 2016 год</w:t>
            </w:r>
          </w:p>
        </w:tc>
        <w:tc>
          <w:tcPr>
            <w:tcW w:w="1984" w:type="dxa"/>
          </w:tcPr>
          <w:p w:rsidR="00690209" w:rsidRDefault="0083246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83246F" w:rsidRPr="0083246F" w:rsidRDefault="0083246F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п.8,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 № 191н  в пояснительной записке к бюджетной отчетности не отражена информация о формах </w:t>
            </w:r>
            <w:r w:rsidRPr="0083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отчетности, которые не имеют числовых показателей.</w:t>
            </w:r>
          </w:p>
          <w:p w:rsidR="0083246F" w:rsidRPr="0083246F" w:rsidRDefault="00196C52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>В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ушение п.174  Инструкции №191н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в текстовой части пояснительной записки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hyperlink r:id="rId26" w:history="1">
              <w:r w:rsidR="0083246F" w:rsidRPr="0083246F">
                <w:rPr>
                  <w:rFonts w:ascii="Times New Roman" w:hAnsi="Times New Roman" w:cs="Times New Roman"/>
                  <w:sz w:val="24"/>
                  <w:szCs w:val="24"/>
                </w:rPr>
                <w:t>(ф. 0503160)</w:t>
              </w:r>
            </w:hyperlink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 не раскрывается информация о задолженности по исполнительным документам и правовом основании ее возникновения, отраженная в сведениях об исполнении судебных решений по денежным обязательствам бюджета (ф.0503296).</w:t>
            </w:r>
          </w:p>
          <w:p w:rsidR="0083246F" w:rsidRPr="0083246F" w:rsidRDefault="00196C52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«Санкционирование расходов экономического субъекта»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 № 157н  Администрацией сельского поселения Успенское санкционирование расходов в учете в полном объеме не отражалось.</w:t>
            </w:r>
          </w:p>
          <w:p w:rsidR="0083246F" w:rsidRPr="0083246F" w:rsidRDefault="00196C52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№ 157н, рабочий план счетов Администрации сельского поселения Успенское, являющийся приложением № 2 к Учетной политике, не содержит полного перечня синтетических и аналитических счетов,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вышеуказанной инструкцией. </w:t>
            </w:r>
            <w:proofErr w:type="gramEnd"/>
          </w:p>
          <w:p w:rsidR="0083246F" w:rsidRPr="0083246F" w:rsidRDefault="00196C52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proofErr w:type="gramStart"/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нарушения требований </w:t>
            </w:r>
            <w:r w:rsidRPr="00CA2796">
              <w:rPr>
                <w:rFonts w:ascii="Times New Roman" w:hAnsi="Times New Roman"/>
                <w:sz w:val="24"/>
                <w:szCs w:val="24"/>
              </w:rPr>
              <w:t>Методических указаний по инвентаризации №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>устанавливающих порядок проведения инвентаризации имущества, числящегося на балансе.</w:t>
            </w:r>
          </w:p>
          <w:p w:rsidR="00690209" w:rsidRDefault="00196C52" w:rsidP="0083246F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46F" w:rsidRPr="0083246F">
              <w:rPr>
                <w:rFonts w:ascii="Times New Roman" w:hAnsi="Times New Roman" w:cs="Times New Roman"/>
                <w:sz w:val="24"/>
                <w:szCs w:val="24"/>
              </w:rPr>
              <w:t>Таблица № 5 «Сведения о результатах мероприятий внутреннего муниципального финансового контроля» к Пояснительной записке (ф.0503160) не отражает полной информации о текущем, предварительном и последующем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 в проверяемом учреждении.</w:t>
            </w:r>
          </w:p>
        </w:tc>
        <w:tc>
          <w:tcPr>
            <w:tcW w:w="2977" w:type="dxa"/>
          </w:tcPr>
          <w:p w:rsidR="00690209" w:rsidRDefault="00196C5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690209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указанные в представлении, исполнены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</w:tc>
      </w:tr>
      <w:tr w:rsidR="00690209" w:rsidRPr="00FA6CA8" w:rsidTr="006547E8">
        <w:tc>
          <w:tcPr>
            <w:tcW w:w="675" w:type="dxa"/>
          </w:tcPr>
          <w:p w:rsidR="00690209" w:rsidRDefault="0069020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690209" w:rsidRPr="006547E8" w:rsidRDefault="00196C5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отчёта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за 2016 год</w:t>
            </w:r>
          </w:p>
        </w:tc>
        <w:tc>
          <w:tcPr>
            <w:tcW w:w="1984" w:type="dxa"/>
          </w:tcPr>
          <w:p w:rsidR="00690209" w:rsidRDefault="00196C5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8" w:type="dxa"/>
          </w:tcPr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п.8, п.152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№ 191н в пояснительной записке к бюджетной отчетности не отражена информация о формах бюджетной отчетности, которые не имеют числовых показателей.</w:t>
            </w:r>
          </w:p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174 Инструкции № 191н, к проверке не представлены Сведения об исполнении судебных решений по денежным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(ф. 0503296).</w:t>
            </w:r>
          </w:p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ст.219 Бюджетного кодекса Российской Федерации и раздела VI «Санкционирование расходов экономического субъекта»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№ 157н Администрацией сельского поселения </w:t>
            </w:r>
            <w:proofErr w:type="spellStart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санкционирование расходов в бюджетном учете в полном объеме не отражалось.</w:t>
            </w:r>
          </w:p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proofErr w:type="spellStart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нарушения требований </w:t>
            </w:r>
            <w:r w:rsidRPr="00CA2796">
              <w:rPr>
                <w:rFonts w:ascii="Times New Roman" w:hAnsi="Times New Roman"/>
                <w:sz w:val="24"/>
                <w:szCs w:val="24"/>
              </w:rPr>
              <w:t>Методических указаний по инвентаризации №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устанавливающих порядок проведения инвентаризации имущества, числящегося на балансе.</w:t>
            </w:r>
          </w:p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 ст. 13 Федерального закона от 06.12.2011                          № 402-ФЗ «О бухгалтерском учете»,  п. 20 Инструкции № 191н в Справке о наличии имущества и обязательств на </w:t>
            </w:r>
            <w:proofErr w:type="spellStart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счетах (ф.0503130) по строкам 250-252 не отражена стоимость муниципального имущества, переданного в аренду.</w:t>
            </w:r>
          </w:p>
          <w:p w:rsidR="00196C52" w:rsidRPr="00196C52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п.п.152, 153, 154, 155, 156, 157, 158, 159 Инструкции                 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191н в бюджетной отчетности Совета депутатов отсутствует пояснительная записка и таблицы, предусмотренные данной инструкцией.</w:t>
            </w:r>
          </w:p>
          <w:p w:rsidR="00690209" w:rsidRDefault="00196C52" w:rsidP="00196C52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п.2.3 </w:t>
            </w:r>
            <w:r w:rsidRPr="00CA2796">
              <w:rPr>
                <w:rFonts w:ascii="Times New Roman" w:hAnsi="Times New Roman"/>
                <w:sz w:val="24"/>
                <w:szCs w:val="24"/>
              </w:rPr>
              <w:t>Методических указаний по инвентаризации № 49</w:t>
            </w:r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, инвентаризация в Совете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на основании распоряжения Администрации сельского поселения </w:t>
            </w:r>
            <w:proofErr w:type="spellStart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96C52">
              <w:rPr>
                <w:rFonts w:ascii="Times New Roman" w:hAnsi="Times New Roman" w:cs="Times New Roman"/>
                <w:sz w:val="24"/>
                <w:szCs w:val="24"/>
              </w:rPr>
              <w:t xml:space="preserve">    Одинцовского муниципального района от 26.08.2016 № 48-р           «О проведении инвентаризации».</w:t>
            </w:r>
          </w:p>
        </w:tc>
        <w:tc>
          <w:tcPr>
            <w:tcW w:w="2977" w:type="dxa"/>
          </w:tcPr>
          <w:p w:rsidR="00690209" w:rsidRDefault="00196C52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представление</w:t>
            </w:r>
          </w:p>
        </w:tc>
        <w:tc>
          <w:tcPr>
            <w:tcW w:w="2977" w:type="dxa"/>
          </w:tcPr>
          <w:p w:rsidR="00690209" w:rsidRDefault="00E64B3C" w:rsidP="006547E8">
            <w:pPr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учреждением полностью</w:t>
            </w:r>
            <w:bookmarkStart w:id="0" w:name="_GoBack"/>
            <w:bookmarkEnd w:id="0"/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4113D"/>
    <w:rsid w:val="00196C52"/>
    <w:rsid w:val="0021021C"/>
    <w:rsid w:val="002268B0"/>
    <w:rsid w:val="00231841"/>
    <w:rsid w:val="003559D6"/>
    <w:rsid w:val="00390DDA"/>
    <w:rsid w:val="0047421C"/>
    <w:rsid w:val="00480D02"/>
    <w:rsid w:val="00492EDF"/>
    <w:rsid w:val="00595750"/>
    <w:rsid w:val="005A53DA"/>
    <w:rsid w:val="005C68B1"/>
    <w:rsid w:val="005D2FE2"/>
    <w:rsid w:val="005F25C6"/>
    <w:rsid w:val="00642F78"/>
    <w:rsid w:val="006547E8"/>
    <w:rsid w:val="00673758"/>
    <w:rsid w:val="0067589F"/>
    <w:rsid w:val="00690209"/>
    <w:rsid w:val="006C2FAC"/>
    <w:rsid w:val="006D4EBC"/>
    <w:rsid w:val="006F26C4"/>
    <w:rsid w:val="007042E8"/>
    <w:rsid w:val="0073353E"/>
    <w:rsid w:val="0074745A"/>
    <w:rsid w:val="007C74D2"/>
    <w:rsid w:val="007D4388"/>
    <w:rsid w:val="0083246F"/>
    <w:rsid w:val="00857BB4"/>
    <w:rsid w:val="008B5999"/>
    <w:rsid w:val="008B6349"/>
    <w:rsid w:val="008D02C5"/>
    <w:rsid w:val="008E3D1C"/>
    <w:rsid w:val="0093491C"/>
    <w:rsid w:val="0098334F"/>
    <w:rsid w:val="009A2F4C"/>
    <w:rsid w:val="009A3F39"/>
    <w:rsid w:val="009F29D4"/>
    <w:rsid w:val="00A168BD"/>
    <w:rsid w:val="00A20D06"/>
    <w:rsid w:val="00A60EA3"/>
    <w:rsid w:val="00A6228E"/>
    <w:rsid w:val="00A629FE"/>
    <w:rsid w:val="00A65EF2"/>
    <w:rsid w:val="00A90CD9"/>
    <w:rsid w:val="00B32ACA"/>
    <w:rsid w:val="00C17420"/>
    <w:rsid w:val="00C21A4B"/>
    <w:rsid w:val="00CA2796"/>
    <w:rsid w:val="00CC5C78"/>
    <w:rsid w:val="00CE5886"/>
    <w:rsid w:val="00CF21AA"/>
    <w:rsid w:val="00D177BE"/>
    <w:rsid w:val="00D46365"/>
    <w:rsid w:val="00D95B8F"/>
    <w:rsid w:val="00E33937"/>
    <w:rsid w:val="00E6464C"/>
    <w:rsid w:val="00E64B3C"/>
    <w:rsid w:val="00F0251D"/>
    <w:rsid w:val="00F47B27"/>
    <w:rsid w:val="00F7439D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44AE6E8BDC81730AFB2FA40CFBC3AF577BD724C32DD58AA2273B31911287B69A0CBA042BE97F8IFkFN" TargetMode="External"/><Relationship Id="rId13" Type="http://schemas.openxmlformats.org/officeDocument/2006/relationships/hyperlink" Target="consultantplus://offline/ref=019A3453FC98B693EC07CF7D281463FA93E17066DFB3DD0CA7CF14D73FBF26015397A1D052FEDB9BmEw2M" TargetMode="External"/><Relationship Id="rId18" Type="http://schemas.openxmlformats.org/officeDocument/2006/relationships/hyperlink" Target="consultantplus://offline/ref=2F1433CA18F350756D11561DBE5C336FB10DAC5C4D7869EC9C39CFEB2E44B26C027F1B6ED7A0E4ABm2r7H" TargetMode="External"/><Relationship Id="rId26" Type="http://schemas.openxmlformats.org/officeDocument/2006/relationships/hyperlink" Target="consultantplus://offline/ref=583A053B53F23F7416D253E2E088A927137C66BC5AE5D04702DF2B6C53E050A3E3865EB0A956A356o2Q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52D94FFC38900A10B657A2181AE69466FA9CBF3940128491417359BA3AE3ACF7BA454D2FF2DABFDP4SDN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519D26BD5A5493CA8A5D6241D2CBD6E52F785E1E4F4193C9FF94609B78076CFF0A2321F2E3ADtAJ" TargetMode="External"/><Relationship Id="rId17" Type="http://schemas.openxmlformats.org/officeDocument/2006/relationships/hyperlink" Target="consultantplus://offline/ref=2F1433CA18F350756D11561DBE5C336FB10DAC5C4D7869EC9C39CFEB2E44B26C027F1B6ED7A1E8AFm2rBH" TargetMode="External"/><Relationship Id="rId25" Type="http://schemas.openxmlformats.org/officeDocument/2006/relationships/hyperlink" Target="consultantplus://offline/ref=38180E62593989D7E537674D0C7AF3D75EA92AD82AF69943C3CDD97110700253ACFDA042F245r4x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196761A200CC3B84E88BF849AB7174A7F1A0BA006E9E1E404637CE3F04E6701EBF1EF9A4547989TD06M" TargetMode="External"/><Relationship Id="rId20" Type="http://schemas.openxmlformats.org/officeDocument/2006/relationships/hyperlink" Target="consultantplus://offline/ref=8BB912D92A957FF55EE0ED14C03BF250811A06784D1533976AE903187F5AC5374A30D03A4B833696w6R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8296A78E572FA531514E774AA4624439FBEE47AEEA7BC4E0EF40B701544BCEF3802q7G4T" TargetMode="External"/><Relationship Id="rId11" Type="http://schemas.openxmlformats.org/officeDocument/2006/relationships/hyperlink" Target="consultantplus://offline/ref=AD101E11D8A5E645EBFF339A4B71FD86C86DBFD73E385841AD2B506AFAF993415986F9E5C0480C4A77H9H" TargetMode="External"/><Relationship Id="rId24" Type="http://schemas.openxmlformats.org/officeDocument/2006/relationships/hyperlink" Target="consultantplus://offline/ref=052D94FFC38900A10B657A2181AE69466FA9CBF3940128491417359BA3AE3ACF7BA454D2FF2DABFDP4S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E13A50FC00AA1C7C0E3C9DFF737CD20FB66D578DAAAC72CED48EF094D69731613C885E303B34740CzAM" TargetMode="External"/><Relationship Id="rId23" Type="http://schemas.openxmlformats.org/officeDocument/2006/relationships/hyperlink" Target="consultantplus://offline/ref=8BB912D92A957FF55EE0ED14C03BF250811A06784D1533976AE903187F5AC5374A30D03A4B833696w6R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101E11D8A5E645EBFF339A4B71FD86C869B8DA3E3B5841AD2B506AFAF993415986F9E5C0480C4C77H8H" TargetMode="External"/><Relationship Id="rId19" Type="http://schemas.openxmlformats.org/officeDocument/2006/relationships/hyperlink" Target="consultantplus://offline/ref=2F1433CA18F350756D11561DBE5C336FB10DAC5C4D7869EC9C39CFEB2E44B26C027F1B6ED7A0EDA2m2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01E11D8A5E645EBFF339A4B71FD86C86AB8DB3E3B5841AD2B506AFAF993415986F9E5C0480D4977H9H" TargetMode="External"/><Relationship Id="rId14" Type="http://schemas.openxmlformats.org/officeDocument/2006/relationships/hyperlink" Target="consultantplus://offline/ref=E0424B32DF0B1454447040340A1DDD30BF9565095092D0B38DCF0EBFD2AB769C79012EEF233184A3B0u9M" TargetMode="External"/><Relationship Id="rId22" Type="http://schemas.openxmlformats.org/officeDocument/2006/relationships/hyperlink" Target="consultantplus://offline/ref=583A053B53F23F7416D253E2E088A927137C66BC5AE5D04702DF2B6C53E050A3E3865EB0A956A356o2Q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40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35</cp:revision>
  <cp:lastPrinted>2017-06-19T07:00:00Z</cp:lastPrinted>
  <dcterms:created xsi:type="dcterms:W3CDTF">2017-06-16T08:43:00Z</dcterms:created>
  <dcterms:modified xsi:type="dcterms:W3CDTF">2017-07-03T08:22:00Z</dcterms:modified>
</cp:coreProperties>
</file>