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E01" w:rsidRDefault="0073353E" w:rsidP="00A34E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53E">
        <w:rPr>
          <w:rFonts w:ascii="Times New Roman" w:hAnsi="Times New Roman" w:cs="Times New Roman"/>
          <w:sz w:val="28"/>
          <w:szCs w:val="28"/>
        </w:rPr>
        <w:t xml:space="preserve">Информация об итогах </w:t>
      </w:r>
      <w:r w:rsidR="006547E8">
        <w:rPr>
          <w:rFonts w:ascii="Times New Roman" w:hAnsi="Times New Roman" w:cs="Times New Roman"/>
          <w:sz w:val="28"/>
          <w:szCs w:val="28"/>
        </w:rPr>
        <w:t xml:space="preserve">внешних проверок </w:t>
      </w:r>
      <w:r w:rsidR="00A34E01">
        <w:rPr>
          <w:rFonts w:ascii="Times New Roman" w:hAnsi="Times New Roman" w:cs="Times New Roman"/>
          <w:sz w:val="28"/>
          <w:szCs w:val="28"/>
        </w:rPr>
        <w:t xml:space="preserve">годовой бюджетной отчетности главных администраторов </w:t>
      </w:r>
    </w:p>
    <w:p w:rsidR="0073353E" w:rsidRPr="0073353E" w:rsidRDefault="00A34E01" w:rsidP="00A34E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6547E8">
        <w:rPr>
          <w:rFonts w:ascii="Times New Roman" w:hAnsi="Times New Roman" w:cs="Times New Roman"/>
          <w:sz w:val="28"/>
          <w:szCs w:val="28"/>
        </w:rPr>
        <w:t xml:space="preserve"> Одинцовского муниципального района за 201</w:t>
      </w:r>
      <w:r w:rsidR="0005620B">
        <w:rPr>
          <w:rFonts w:ascii="Times New Roman" w:hAnsi="Times New Roman" w:cs="Times New Roman"/>
          <w:sz w:val="28"/>
          <w:szCs w:val="28"/>
        </w:rPr>
        <w:t>9</w:t>
      </w:r>
      <w:r w:rsidR="006547E8">
        <w:rPr>
          <w:rFonts w:ascii="Times New Roman" w:hAnsi="Times New Roman" w:cs="Times New Roman"/>
          <w:sz w:val="28"/>
          <w:szCs w:val="28"/>
        </w:rPr>
        <w:t xml:space="preserve"> год</w:t>
      </w:r>
      <w:r w:rsidR="00FD77BB">
        <w:rPr>
          <w:rFonts w:ascii="Times New Roman" w:hAnsi="Times New Roman" w:cs="Times New Roman"/>
          <w:sz w:val="28"/>
          <w:szCs w:val="28"/>
        </w:rPr>
        <w:t>, проведенных в</w:t>
      </w:r>
      <w:r w:rsidR="008C3D21">
        <w:rPr>
          <w:rFonts w:ascii="Times New Roman" w:hAnsi="Times New Roman" w:cs="Times New Roman"/>
          <w:sz w:val="28"/>
          <w:szCs w:val="28"/>
        </w:rPr>
        <w:t>о</w:t>
      </w:r>
      <w:r w:rsidR="00FD77BB">
        <w:rPr>
          <w:rFonts w:ascii="Times New Roman" w:hAnsi="Times New Roman" w:cs="Times New Roman"/>
          <w:sz w:val="28"/>
          <w:szCs w:val="28"/>
        </w:rPr>
        <w:t xml:space="preserve"> </w:t>
      </w:r>
      <w:r w:rsidR="008C3D21">
        <w:rPr>
          <w:rFonts w:ascii="Times New Roman" w:hAnsi="Times New Roman" w:cs="Times New Roman"/>
          <w:sz w:val="28"/>
          <w:szCs w:val="28"/>
        </w:rPr>
        <w:t>2</w:t>
      </w:r>
      <w:r w:rsidR="00FD77BB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05620B">
        <w:rPr>
          <w:rFonts w:ascii="Times New Roman" w:hAnsi="Times New Roman" w:cs="Times New Roman"/>
          <w:sz w:val="28"/>
          <w:szCs w:val="28"/>
        </w:rPr>
        <w:t>20</w:t>
      </w:r>
      <w:r w:rsidR="00FD77BB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4"/>
        <w:gridCol w:w="5671"/>
        <w:gridCol w:w="2126"/>
        <w:gridCol w:w="1843"/>
      </w:tblGrid>
      <w:tr w:rsidR="006547E8" w:rsidRPr="00FA6CA8" w:rsidTr="00BE3A9D">
        <w:tc>
          <w:tcPr>
            <w:tcW w:w="675" w:type="dxa"/>
          </w:tcPr>
          <w:p w:rsidR="006547E8" w:rsidRPr="00FA6CA8" w:rsidRDefault="006547E8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6547E8" w:rsidRPr="00FA6CA8" w:rsidRDefault="006547E8" w:rsidP="0082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824B7C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экспертно-аналитического 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6547E8" w:rsidRPr="00FA6CA8" w:rsidRDefault="006547E8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5671" w:type="dxa"/>
          </w:tcPr>
          <w:p w:rsidR="006547E8" w:rsidRPr="00FA6CA8" w:rsidRDefault="006547E8" w:rsidP="0082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езультаты </w:t>
            </w:r>
            <w:r w:rsidR="00824B7C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экспертно-аналитического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126" w:type="dxa"/>
          </w:tcPr>
          <w:p w:rsidR="006547E8" w:rsidRPr="00FA6CA8" w:rsidRDefault="006547E8" w:rsidP="00C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Подготовленные документы (</w:t>
            </w:r>
            <w:r w:rsidR="00CF0812"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, отчеты, представления/предписания) по результатам экспертизы</w:t>
            </w:r>
          </w:p>
        </w:tc>
        <w:tc>
          <w:tcPr>
            <w:tcW w:w="1843" w:type="dxa"/>
          </w:tcPr>
          <w:p w:rsidR="006547E8" w:rsidRPr="00FA6CA8" w:rsidRDefault="006547E8" w:rsidP="006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E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устранении нарушений по результатам </w:t>
            </w:r>
            <w:r w:rsidR="00824B7C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экспертно-аналитического</w:t>
            </w:r>
            <w:r w:rsidR="00CF0812" w:rsidRPr="00CF0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7E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6547E8" w:rsidRPr="00FA6CA8" w:rsidTr="00BE3A9D">
        <w:tc>
          <w:tcPr>
            <w:tcW w:w="675" w:type="dxa"/>
          </w:tcPr>
          <w:p w:rsidR="006547E8" w:rsidRPr="00FA6CA8" w:rsidRDefault="006547E8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547E8" w:rsidRPr="00FA6CA8" w:rsidRDefault="00CB1729" w:rsidP="008C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Внешняя проверка годовой бюджетной отчетности </w:t>
            </w:r>
            <w:r w:rsidR="008C3D2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  <w:r w:rsidRPr="00CB1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Одинцовского </w:t>
            </w:r>
            <w:r w:rsidR="0005620B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городского округа</w:t>
            </w:r>
            <w:r w:rsidRPr="00CB1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201</w:t>
            </w:r>
            <w:r w:rsidR="0005620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CB1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6547E8" w:rsidRPr="00FA6CA8" w:rsidRDefault="008C3D21" w:rsidP="0005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2.4</w:t>
            </w:r>
            <w:r w:rsidR="0005620B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Контрольно-счетной палаты Одинцовского городского округа на 2020 год, утвержденного распоряжением Контрольно-счетной палаты Одинцовского городского округа от 26.12.2019 года № 207 (с изменениями и дополнениями)</w:t>
            </w:r>
          </w:p>
        </w:tc>
        <w:tc>
          <w:tcPr>
            <w:tcW w:w="5671" w:type="dxa"/>
          </w:tcPr>
          <w:p w:rsidR="008C3D21" w:rsidRPr="008C3D21" w:rsidRDefault="008C3D21" w:rsidP="008C3D21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21">
              <w:rPr>
                <w:rFonts w:ascii="Times New Roman" w:hAnsi="Times New Roman"/>
                <w:sz w:val="24"/>
                <w:szCs w:val="24"/>
              </w:rPr>
              <w:t>Выборочной проверкой форм бюджетной отчетности Администрации Одинцовского городского округа установлено следующее:</w:t>
            </w:r>
          </w:p>
          <w:p w:rsidR="008C3D21" w:rsidRPr="008C3D21" w:rsidRDefault="008C3D21" w:rsidP="008C3D21">
            <w:pPr>
              <w:pStyle w:val="a5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21">
              <w:rPr>
                <w:rFonts w:ascii="Times New Roman" w:hAnsi="Times New Roman"/>
                <w:sz w:val="24"/>
                <w:szCs w:val="24"/>
              </w:rPr>
              <w:t>При сопоставлении данных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 с данными Главной книги расхождений не установлено.</w:t>
            </w:r>
          </w:p>
          <w:p w:rsidR="008C3D21" w:rsidRPr="008C3D21" w:rsidRDefault="008C3D21" w:rsidP="008C3D21">
            <w:pPr>
              <w:pStyle w:val="a5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21">
              <w:rPr>
                <w:rFonts w:ascii="Times New Roman" w:hAnsi="Times New Roman"/>
                <w:sz w:val="24"/>
                <w:szCs w:val="24"/>
              </w:rPr>
              <w:t>При сопоставлении данных ф.0503164 «Сведения об исполнении бюджета» с данными ф.0503127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расхождений не установлено.</w:t>
            </w:r>
          </w:p>
          <w:p w:rsidR="008C3D21" w:rsidRPr="008C3D21" w:rsidRDefault="008C3D21" w:rsidP="008C3D21">
            <w:pPr>
              <w:pStyle w:val="a5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3D21">
              <w:rPr>
                <w:rFonts w:ascii="Times New Roman" w:hAnsi="Times New Roman"/>
                <w:sz w:val="24"/>
                <w:szCs w:val="24"/>
              </w:rPr>
              <w:t xml:space="preserve">В нарушение п.44 Инструкции о порядке составления и представления отчётности № 191н в разделе 1 Справки по заключению счетов </w:t>
            </w:r>
            <w:r w:rsidRPr="008C3D21">
              <w:rPr>
                <w:rFonts w:ascii="Times New Roman" w:hAnsi="Times New Roman"/>
                <w:sz w:val="24"/>
                <w:szCs w:val="24"/>
              </w:rPr>
              <w:lastRenderedPageBreak/>
              <w:t>бюджетного учета отчетного финансового года (ф. 0503110) по строке 140120000 отражена сумма, не подтвержденная данными Главной книги за 2019 год, а именно: в ф.0503110 отражено 2 353 488,358 тыс. руб., в Главной книге 2 353 465,588 тыс. руб., отклонение составило</w:t>
            </w:r>
            <w:proofErr w:type="gramEnd"/>
            <w:r w:rsidRPr="008C3D21">
              <w:rPr>
                <w:rFonts w:ascii="Times New Roman" w:hAnsi="Times New Roman"/>
                <w:sz w:val="24"/>
                <w:szCs w:val="24"/>
              </w:rPr>
              <w:t xml:space="preserve"> 22,770 тыс. руб. </w:t>
            </w:r>
          </w:p>
          <w:p w:rsidR="008C3D21" w:rsidRPr="008C3D21" w:rsidRDefault="008C3D21" w:rsidP="008C3D21">
            <w:pPr>
              <w:pStyle w:val="a5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21">
              <w:rPr>
                <w:rFonts w:ascii="Times New Roman" w:hAnsi="Times New Roman"/>
                <w:sz w:val="24"/>
                <w:szCs w:val="24"/>
              </w:rPr>
              <w:t>В нарушение п.167 Инструкции о порядке составления и представления отчётности № 191н в Сведениях по дебиторской и кредиторской задолженности (ф.0503169) отражена дебиторская задолженность на начало и конец года по строке 120531000 в сумме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3D21">
              <w:rPr>
                <w:rFonts w:ascii="Times New Roman" w:hAnsi="Times New Roman"/>
                <w:sz w:val="24"/>
                <w:szCs w:val="24"/>
              </w:rPr>
              <w:t>116,964 тыс. руб., не подтвержденная данными Главной книги за 2019 год. В Главной книге задолженность по счету 120531000 отсутствует.</w:t>
            </w:r>
          </w:p>
          <w:p w:rsidR="008C3D21" w:rsidRPr="008C3D21" w:rsidRDefault="008C3D21" w:rsidP="008C3D21">
            <w:pPr>
              <w:pStyle w:val="a5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3D21">
              <w:rPr>
                <w:rFonts w:ascii="Times New Roman" w:hAnsi="Times New Roman"/>
                <w:sz w:val="24"/>
                <w:szCs w:val="24"/>
              </w:rPr>
              <w:t>В нарушение ст.11 Федерального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закона от 06.12.2011 № 402-ФЗ </w:t>
            </w:r>
            <w:r w:rsidRPr="008C3D21">
              <w:rPr>
                <w:rFonts w:ascii="Times New Roman" w:hAnsi="Times New Roman"/>
                <w:sz w:val="24"/>
                <w:szCs w:val="24"/>
              </w:rPr>
              <w:t>«О бухгалтерском учете», п.79 Приказа Минфина России от 31.12.2016                     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 (далее - Федеральный стандарт № 256н), п.7 Инструкции о порядке составления и представления отчётности № 191н в 2019 году не проведена инвентаризация непроизведенных</w:t>
            </w:r>
            <w:proofErr w:type="gramEnd"/>
            <w:r w:rsidRPr="008C3D21">
              <w:rPr>
                <w:rFonts w:ascii="Times New Roman" w:hAnsi="Times New Roman"/>
                <w:sz w:val="24"/>
                <w:szCs w:val="24"/>
              </w:rPr>
              <w:t xml:space="preserve"> активов.</w:t>
            </w:r>
          </w:p>
          <w:p w:rsidR="008C3D21" w:rsidRPr="008C3D21" w:rsidRDefault="008C3D21" w:rsidP="008C3D21">
            <w:pPr>
              <w:pStyle w:val="a5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21">
              <w:rPr>
                <w:rFonts w:ascii="Times New Roman" w:hAnsi="Times New Roman"/>
                <w:sz w:val="24"/>
                <w:szCs w:val="24"/>
              </w:rPr>
              <w:t xml:space="preserve">Кредиторская и дебиторская задолженность, отраженная в Балансе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</w:t>
            </w:r>
            <w:r w:rsidRPr="008C3D21">
              <w:rPr>
                <w:rFonts w:ascii="Times New Roman" w:hAnsi="Times New Roman"/>
                <w:sz w:val="24"/>
                <w:szCs w:val="24"/>
              </w:rPr>
              <w:lastRenderedPageBreak/>
              <w:t>бюджета (ф. 0503130), а также в Сведениях по дебиторской и кредиторской задолженности (ф.0503169) по состоянию на 01.01.2020, не подтверждена актами сверки с контрагентами.</w:t>
            </w:r>
          </w:p>
          <w:p w:rsidR="008C3D21" w:rsidRPr="008C3D21" w:rsidRDefault="008C3D21" w:rsidP="008C3D21">
            <w:pPr>
              <w:pStyle w:val="a5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21">
              <w:rPr>
                <w:rFonts w:ascii="Times New Roman" w:hAnsi="Times New Roman"/>
                <w:sz w:val="24"/>
                <w:szCs w:val="24"/>
              </w:rPr>
              <w:t xml:space="preserve">В ходе </w:t>
            </w:r>
            <w:proofErr w:type="gramStart"/>
            <w:r w:rsidRPr="008C3D21">
              <w:rPr>
                <w:rFonts w:ascii="Times New Roman" w:hAnsi="Times New Roman"/>
                <w:sz w:val="24"/>
                <w:szCs w:val="24"/>
              </w:rPr>
              <w:t>проведения внешней проверки фактов недостоверности бюджетной отчетности</w:t>
            </w:r>
            <w:proofErr w:type="gramEnd"/>
            <w:r w:rsidRPr="008C3D21">
              <w:rPr>
                <w:rFonts w:ascii="Times New Roman" w:hAnsi="Times New Roman"/>
                <w:sz w:val="24"/>
                <w:szCs w:val="24"/>
              </w:rPr>
              <w:t xml:space="preserve"> не выявлено, фактов неполноты бюджетной отчетности не выявлено. Установлены факты, способные негативно повлиять на достоверность отчетности (отсутствие инвентаризации отдельных объектов бухгалтерского учета, отсутствие актов сверки на 01.01.2020).</w:t>
            </w:r>
          </w:p>
          <w:p w:rsidR="008C3D21" w:rsidRPr="008C3D21" w:rsidRDefault="008C3D21" w:rsidP="008C3D21">
            <w:p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21">
              <w:rPr>
                <w:rFonts w:ascii="Times New Roman" w:hAnsi="Times New Roman"/>
                <w:sz w:val="24"/>
                <w:szCs w:val="24"/>
              </w:rPr>
              <w:t>3.</w:t>
            </w:r>
            <w:r w:rsidRPr="008C3D21">
              <w:rPr>
                <w:rFonts w:ascii="Times New Roman" w:hAnsi="Times New Roman"/>
                <w:sz w:val="24"/>
                <w:szCs w:val="24"/>
              </w:rPr>
              <w:tab/>
              <w:t xml:space="preserve">В нарушение п.3.1. </w:t>
            </w:r>
            <w:proofErr w:type="gramStart"/>
            <w:r w:rsidRPr="008C3D21">
              <w:rPr>
                <w:rFonts w:ascii="Times New Roman" w:hAnsi="Times New Roman"/>
                <w:sz w:val="24"/>
                <w:szCs w:val="24"/>
              </w:rPr>
              <w:t>Порядка составления и ведения сводной бюджетной росписи бюджета Одинцовского муниципального района и бюджетных росписей главных распорядителей средств бюджета района, а также главных администраторов источников финансирования дефицита бюджета Одинцовского муниципального района, утвержденного приказом Финансово-казначейского управления № 53 от 29.12.2016 бюджетная роспись Администрации Одинцовского городского округа составлена не в разрезе получателей средств бюджета, подведомственных главному распорядителю.</w:t>
            </w:r>
            <w:proofErr w:type="gramEnd"/>
          </w:p>
          <w:p w:rsidR="008C3D21" w:rsidRPr="008C3D21" w:rsidRDefault="008C3D21" w:rsidP="008C3D21">
            <w:p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21">
              <w:rPr>
                <w:rFonts w:ascii="Times New Roman" w:hAnsi="Times New Roman"/>
                <w:sz w:val="24"/>
                <w:szCs w:val="24"/>
              </w:rPr>
              <w:t>4.</w:t>
            </w:r>
            <w:r w:rsidRPr="008C3D21">
              <w:rPr>
                <w:rFonts w:ascii="Times New Roman" w:hAnsi="Times New Roman"/>
                <w:sz w:val="24"/>
                <w:szCs w:val="24"/>
              </w:rPr>
              <w:tab/>
              <w:t>Выборочной проверкой форм бюджетной отчетности муниципального казенного учреждения «Хозяйственно-эксплуатационная служба  Одинцовского городского округа Московской области» и иных документов, представленных для проведения внешней проверки, установлено следующее:</w:t>
            </w:r>
          </w:p>
          <w:p w:rsidR="008C3D21" w:rsidRPr="008C3D21" w:rsidRDefault="008C3D21" w:rsidP="008C3D21">
            <w:p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C3D21">
              <w:rPr>
                <w:rFonts w:ascii="Times New Roman" w:hAnsi="Times New Roman"/>
                <w:sz w:val="24"/>
                <w:szCs w:val="24"/>
              </w:rPr>
              <w:t xml:space="preserve">В нарушение ст.11 Федерального закона от </w:t>
            </w:r>
            <w:r w:rsidRPr="008C3D21">
              <w:rPr>
                <w:rFonts w:ascii="Times New Roman" w:hAnsi="Times New Roman"/>
                <w:sz w:val="24"/>
                <w:szCs w:val="24"/>
              </w:rPr>
              <w:lastRenderedPageBreak/>
              <w:t>06.12.2011 № 402-ФЗ «О бухгалтерском учете», п.79 Федерального стандарта № 256н, п.7 Инструкции о порядке составления и представления отчётности № 191н в 2019 году не проведена инвентаризация основных средств, прав пользования активами, резервов предстоящих расходов, доходов и расходов будущих периодов, расчетов  с дебиторами и кредиторами (к проверке не представлена).</w:t>
            </w:r>
            <w:proofErr w:type="gramEnd"/>
          </w:p>
          <w:p w:rsidR="008C3D21" w:rsidRPr="008C3D21" w:rsidRDefault="008C3D21" w:rsidP="008C3D21">
            <w:p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C3D21">
              <w:rPr>
                <w:rFonts w:ascii="Times New Roman" w:hAnsi="Times New Roman"/>
                <w:sz w:val="24"/>
                <w:szCs w:val="24"/>
              </w:rPr>
              <w:t>Кредиторская и дебиторская задолженность, отраженная в Балансе (ф. 0503130), а также в Сведениях по дебиторской и кредиторской задолженности (ф.0503169) по состоянию на 01.01.2020, подтверждена не всеми актами сверки с контрагентами (кроме ООО «ОРТК-Процессинг», АО «Одинцовская теплосеть», АО «Телерадиокомпания «Одинцово»).</w:t>
            </w:r>
          </w:p>
          <w:p w:rsidR="006547E8" w:rsidRPr="008C3D21" w:rsidRDefault="008C3D21" w:rsidP="008C3D21">
            <w:p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C3D21">
              <w:rPr>
                <w:rFonts w:ascii="Times New Roman" w:hAnsi="Times New Roman"/>
                <w:sz w:val="24"/>
                <w:szCs w:val="24"/>
              </w:rPr>
              <w:tab/>
              <w:t>В состав инвентаризационной комиссии включено материально ответственное лицо, что не соответствует Приказу Минфина РФ от 13.06.1995 № 49 «Об утверждении Методических указаний по инвентаризации имущества и финансовых обязательств».</w:t>
            </w:r>
          </w:p>
        </w:tc>
        <w:tc>
          <w:tcPr>
            <w:tcW w:w="2126" w:type="dxa"/>
          </w:tcPr>
          <w:p w:rsidR="006547E8" w:rsidRPr="00FA6CA8" w:rsidRDefault="0005620B" w:rsidP="0051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Заключение,</w:t>
            </w:r>
            <w:r w:rsidR="0090278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представление, отчет</w:t>
            </w:r>
            <w:r w:rsidR="00824B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1528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="00515286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proofErr w:type="gramEnd"/>
            <w:r w:rsidR="00824B7C">
              <w:rPr>
                <w:rFonts w:ascii="Times New Roman" w:hAnsi="Times New Roman" w:cs="Times New Roman"/>
                <w:sz w:val="24"/>
                <w:szCs w:val="24"/>
              </w:rPr>
              <w:t xml:space="preserve"> письм</w:t>
            </w:r>
            <w:r w:rsidR="005152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4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547E8" w:rsidRDefault="0090278A" w:rsidP="0003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Предложения, указанные в представлении, </w:t>
            </w:r>
            <w:r w:rsidRPr="001A5EA9">
              <w:rPr>
                <w:rFonts w:ascii="Times New Roman" w:hAnsi="Times New Roman" w:cs="Times New Roman"/>
                <w:sz w:val="24"/>
                <w:szCs w:val="24"/>
              </w:rPr>
              <w:t xml:space="preserve">исполнены </w:t>
            </w:r>
            <w:r w:rsidR="00032DE3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5A53DA" w:rsidRPr="00FA6CA8" w:rsidTr="00BE3A9D">
        <w:tc>
          <w:tcPr>
            <w:tcW w:w="675" w:type="dxa"/>
          </w:tcPr>
          <w:p w:rsidR="005A53DA" w:rsidRPr="00FA6CA8" w:rsidRDefault="005A53DA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</w:tcPr>
          <w:p w:rsidR="005A53DA" w:rsidRPr="006547E8" w:rsidRDefault="00011739" w:rsidP="00B4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Внешняя проверка годовой бюджетной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отчетности</w:t>
            </w:r>
            <w:r w:rsidR="00B43021">
              <w:t xml:space="preserve"> </w:t>
            </w:r>
            <w:r w:rsidR="00B43021" w:rsidRPr="00B43021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</w:t>
            </w:r>
            <w:r w:rsidR="00B43021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B43021" w:rsidRPr="00B43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образования Администрации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Одинцовского городского округа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2019 год</w:t>
            </w:r>
          </w:p>
        </w:tc>
        <w:tc>
          <w:tcPr>
            <w:tcW w:w="1984" w:type="dxa"/>
          </w:tcPr>
          <w:p w:rsidR="005A53DA" w:rsidRDefault="00B43021" w:rsidP="0001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2.5</w:t>
            </w:r>
            <w:r w:rsidR="00011739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Контрольно-счетной палаты Одинцовского городского округа на 2020 год, утвержденного распоряжением Контрольно-</w:t>
            </w:r>
            <w:r w:rsidR="00011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счетной палаты Одинцовского городского округа от 26.12.2019 года № 207 (с изменениями и дополнениями)</w:t>
            </w:r>
          </w:p>
        </w:tc>
        <w:tc>
          <w:tcPr>
            <w:tcW w:w="5671" w:type="dxa"/>
          </w:tcPr>
          <w:p w:rsidR="00B43021" w:rsidRPr="00B43021" w:rsidRDefault="00B43021" w:rsidP="00B43021">
            <w:pPr>
              <w:tabs>
                <w:tab w:val="left" w:pos="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Pr="00B43021">
              <w:rPr>
                <w:rFonts w:ascii="Times New Roman" w:hAnsi="Times New Roman"/>
                <w:sz w:val="24"/>
                <w:szCs w:val="24"/>
              </w:rPr>
              <w:t xml:space="preserve">В ходе </w:t>
            </w:r>
            <w:proofErr w:type="gramStart"/>
            <w:r w:rsidRPr="00B43021">
              <w:rPr>
                <w:rFonts w:ascii="Times New Roman" w:hAnsi="Times New Roman"/>
                <w:sz w:val="24"/>
                <w:szCs w:val="24"/>
              </w:rPr>
              <w:t>проведения проверки бюджетной отчетности Управления образования</w:t>
            </w:r>
            <w:proofErr w:type="gramEnd"/>
            <w:r w:rsidRPr="00B43021">
              <w:rPr>
                <w:rFonts w:ascii="Times New Roman" w:hAnsi="Times New Roman"/>
                <w:sz w:val="24"/>
                <w:szCs w:val="24"/>
              </w:rPr>
              <w:t xml:space="preserve"> установлено следующее:</w:t>
            </w:r>
          </w:p>
          <w:p w:rsidR="00B43021" w:rsidRPr="00B43021" w:rsidRDefault="00B43021" w:rsidP="00B43021">
            <w:pPr>
              <w:tabs>
                <w:tab w:val="left" w:pos="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021">
              <w:rPr>
                <w:rFonts w:ascii="Times New Roman" w:hAnsi="Times New Roman"/>
                <w:sz w:val="24"/>
                <w:szCs w:val="24"/>
              </w:rPr>
              <w:t xml:space="preserve">1) В нарушение п.1 и п.2 ст.11 Федерального закона от 22.10.2011 </w:t>
            </w:r>
            <w:bookmarkStart w:id="0" w:name="_GoBack"/>
            <w:bookmarkEnd w:id="0"/>
            <w:r w:rsidRPr="00B43021">
              <w:rPr>
                <w:rFonts w:ascii="Times New Roman" w:hAnsi="Times New Roman"/>
                <w:sz w:val="24"/>
                <w:szCs w:val="24"/>
              </w:rPr>
              <w:t>№ 402-ФЗ «О бухгалтерском учете», п.1.4, п.2.5, п.2.6, п.2.7 Методических указаний № 49 в инвентаризационной описи № УО000008 от 02.12.2019 отсутствуют данные о фактическом наличии инвентаризируемых объектов.</w:t>
            </w:r>
          </w:p>
          <w:p w:rsidR="00B43021" w:rsidRPr="00B43021" w:rsidRDefault="00B43021" w:rsidP="00B43021">
            <w:pPr>
              <w:tabs>
                <w:tab w:val="left" w:pos="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021">
              <w:rPr>
                <w:rFonts w:ascii="Times New Roman" w:hAnsi="Times New Roman"/>
                <w:sz w:val="24"/>
                <w:szCs w:val="24"/>
              </w:rPr>
              <w:t xml:space="preserve">2) В нарушение п.2.7 приложения № 5 к Учетной политике и требований Методических указаний № </w:t>
            </w:r>
            <w:r w:rsidRPr="00B430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49 в состав инвентаризационной комиссии по инвентаризации нефинансовых активов включено материально ответственное лицо – Щербаков А.М. </w:t>
            </w:r>
          </w:p>
          <w:p w:rsidR="00B43021" w:rsidRPr="00B43021" w:rsidRDefault="00B43021" w:rsidP="00B43021">
            <w:pPr>
              <w:tabs>
                <w:tab w:val="left" w:pos="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021">
              <w:rPr>
                <w:rFonts w:ascii="Times New Roman" w:hAnsi="Times New Roman"/>
                <w:sz w:val="24"/>
                <w:szCs w:val="24"/>
              </w:rPr>
              <w:t>3) В нарушение п.2.3 Методических указаний № 49 в актах инвентаризации: резервов предстоящих расходов, доходов будущих периодов и резерва на оплату отпусков отсутствует подпись члена инвентаризационной комиссии Новожиловой О.В., что является основанием для признания результатов инвентаризации недействительными.</w:t>
            </w:r>
          </w:p>
          <w:p w:rsidR="00B43021" w:rsidRPr="00B43021" w:rsidRDefault="00B43021" w:rsidP="00B43021">
            <w:pPr>
              <w:tabs>
                <w:tab w:val="left" w:pos="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021">
              <w:rPr>
                <w:rFonts w:ascii="Times New Roman" w:hAnsi="Times New Roman"/>
                <w:sz w:val="24"/>
                <w:szCs w:val="24"/>
              </w:rPr>
              <w:t>4)</w:t>
            </w:r>
            <w:r w:rsidRPr="00B43021">
              <w:rPr>
                <w:rFonts w:ascii="Times New Roman" w:hAnsi="Times New Roman"/>
                <w:sz w:val="24"/>
                <w:szCs w:val="24"/>
              </w:rPr>
              <w:tab/>
              <w:t xml:space="preserve">В нарушение п.151 Инструкции о порядке составления и представления отчётности № 191н к проверке не представлены следующие формы бюджетной отчетности: Сведения о количестве подведомственных участников бюджетного процесса, учреждений и государственных (муниципальных) унитарных предприятий (ф.0503161), Сведения о результатах деятельности   (ф.0503162), 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(ф.0503163). </w:t>
            </w:r>
          </w:p>
          <w:p w:rsidR="00B43021" w:rsidRPr="00B43021" w:rsidRDefault="00B43021" w:rsidP="00B43021">
            <w:pPr>
              <w:tabs>
                <w:tab w:val="left" w:pos="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021">
              <w:rPr>
                <w:rFonts w:ascii="Times New Roman" w:hAnsi="Times New Roman"/>
                <w:sz w:val="24"/>
                <w:szCs w:val="24"/>
              </w:rPr>
              <w:t>5) В нарушение п. 163 Инструкции о порядке составления и представления отчётности № 191н в Сведениях об исполнении бюджета (ф.0503164) в группе граф "Причины отклонений от планового процента исполнения" не отражены:</w:t>
            </w:r>
          </w:p>
          <w:p w:rsidR="00B43021" w:rsidRPr="00B43021" w:rsidRDefault="00B43021" w:rsidP="00B43021">
            <w:pPr>
              <w:tabs>
                <w:tab w:val="left" w:pos="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021">
              <w:rPr>
                <w:rFonts w:ascii="Times New Roman" w:hAnsi="Times New Roman"/>
                <w:sz w:val="24"/>
                <w:szCs w:val="24"/>
              </w:rPr>
              <w:t xml:space="preserve"> - в графе 8 код причины отклонений по доходам и расходам, от доведенного финансовым органом и (или) пользователем бюджетной отчетности планового процента исполнения на отчетную дату;</w:t>
            </w:r>
          </w:p>
          <w:p w:rsidR="00B43021" w:rsidRPr="00B43021" w:rsidRDefault="00B43021" w:rsidP="00B43021">
            <w:pPr>
              <w:tabs>
                <w:tab w:val="left" w:pos="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021">
              <w:rPr>
                <w:rFonts w:ascii="Times New Roman" w:hAnsi="Times New Roman"/>
                <w:sz w:val="24"/>
                <w:szCs w:val="24"/>
              </w:rPr>
              <w:t>- в графе 9 отсутствуют пояснения причин отклонений.</w:t>
            </w:r>
          </w:p>
          <w:p w:rsidR="00B43021" w:rsidRPr="00B43021" w:rsidRDefault="00B43021" w:rsidP="00B43021">
            <w:pPr>
              <w:tabs>
                <w:tab w:val="left" w:pos="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021">
              <w:rPr>
                <w:rFonts w:ascii="Times New Roman" w:hAnsi="Times New Roman"/>
                <w:sz w:val="24"/>
                <w:szCs w:val="24"/>
              </w:rPr>
              <w:lastRenderedPageBreak/>
              <w:t>6) В нарушение п. 170.2 Инструкции о порядке составления и представления отчётности № 191н в ф.0503175 «Сведения о принятых и неисполненных обязательствах получателя бюджетных средств» в графах 7, 8 не указана причина образования неисполненных обязательств (бюджетных (денежных) обязательств) с указанием кодов причины неисполнения.</w:t>
            </w:r>
          </w:p>
          <w:p w:rsidR="00B43021" w:rsidRPr="00B43021" w:rsidRDefault="00B43021" w:rsidP="00B43021">
            <w:pPr>
              <w:tabs>
                <w:tab w:val="left" w:pos="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021">
              <w:rPr>
                <w:rFonts w:ascii="Times New Roman" w:hAnsi="Times New Roman"/>
                <w:sz w:val="24"/>
                <w:szCs w:val="24"/>
              </w:rPr>
              <w:t>7) При сопоставлении данных Главной книги Управления образования за 2019 год с данными бюджетной отчетности расхождений не установлено.</w:t>
            </w:r>
          </w:p>
          <w:p w:rsidR="00B43021" w:rsidRPr="00B43021" w:rsidRDefault="00B43021" w:rsidP="00B43021">
            <w:pPr>
              <w:tabs>
                <w:tab w:val="left" w:pos="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021">
              <w:rPr>
                <w:rFonts w:ascii="Times New Roman" w:hAnsi="Times New Roman"/>
                <w:sz w:val="24"/>
                <w:szCs w:val="24"/>
              </w:rPr>
              <w:t>При сопоставлении данны</w:t>
            </w:r>
            <w:r w:rsidR="003E0B62">
              <w:rPr>
                <w:rFonts w:ascii="Times New Roman" w:hAnsi="Times New Roman"/>
                <w:sz w:val="24"/>
                <w:szCs w:val="24"/>
              </w:rPr>
              <w:t xml:space="preserve">х отчета об исполнении бюджета </w:t>
            </w:r>
            <w:r w:rsidRPr="00B43021">
              <w:rPr>
                <w:rFonts w:ascii="Times New Roman" w:hAnsi="Times New Roman"/>
                <w:sz w:val="24"/>
                <w:szCs w:val="24"/>
              </w:rPr>
              <w:t>ф.0503127 с данными сведений об исполнении бюджета ф.0503164 расхождений не установлено.</w:t>
            </w:r>
          </w:p>
          <w:p w:rsidR="00B43021" w:rsidRPr="00B43021" w:rsidRDefault="00B43021" w:rsidP="00B43021">
            <w:pPr>
              <w:tabs>
                <w:tab w:val="left" w:pos="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021">
              <w:rPr>
                <w:rFonts w:ascii="Times New Roman" w:hAnsi="Times New Roman"/>
                <w:sz w:val="24"/>
                <w:szCs w:val="24"/>
              </w:rPr>
              <w:t>При сопоставлении данных баланса ф.0503130 с данными сведений по дебиторской и кредиторской задолженности ф.0503169 расхождений не установлено.</w:t>
            </w:r>
          </w:p>
          <w:p w:rsidR="00B43021" w:rsidRPr="00B43021" w:rsidRDefault="00B43021" w:rsidP="00B43021">
            <w:pPr>
              <w:tabs>
                <w:tab w:val="left" w:pos="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021">
              <w:rPr>
                <w:rFonts w:ascii="Times New Roman" w:hAnsi="Times New Roman"/>
                <w:sz w:val="24"/>
                <w:szCs w:val="24"/>
              </w:rPr>
              <w:t>При сопоставлении данных отчета о финансовых результатах деятельности ф.0503121 с данными сводного отчета – справки к балансу по заключению счетов бюджетного учета отчетного финансового года  ф.0503110 расхождений не установлено.</w:t>
            </w:r>
          </w:p>
          <w:p w:rsidR="00B43021" w:rsidRPr="00B43021" w:rsidRDefault="00B43021" w:rsidP="00B43021">
            <w:pPr>
              <w:tabs>
                <w:tab w:val="left" w:pos="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021">
              <w:rPr>
                <w:rFonts w:ascii="Times New Roman" w:hAnsi="Times New Roman"/>
                <w:sz w:val="24"/>
                <w:szCs w:val="24"/>
              </w:rPr>
              <w:t>В ходе проведения внешней проверки бюджетной отчетности:</w:t>
            </w:r>
          </w:p>
          <w:p w:rsidR="00B43021" w:rsidRPr="00B43021" w:rsidRDefault="00B43021" w:rsidP="00B43021">
            <w:pPr>
              <w:tabs>
                <w:tab w:val="left" w:pos="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021">
              <w:rPr>
                <w:rFonts w:ascii="Times New Roman" w:hAnsi="Times New Roman"/>
                <w:sz w:val="24"/>
                <w:szCs w:val="24"/>
              </w:rPr>
              <w:t>-</w:t>
            </w:r>
            <w:r w:rsidRPr="00B43021">
              <w:rPr>
                <w:rFonts w:ascii="Times New Roman" w:hAnsi="Times New Roman"/>
                <w:sz w:val="24"/>
                <w:szCs w:val="24"/>
              </w:rPr>
              <w:tab/>
              <w:t>Выявлен факт неполноты бюджетной отчетности.</w:t>
            </w:r>
          </w:p>
          <w:p w:rsidR="00B43021" w:rsidRPr="00B43021" w:rsidRDefault="00B43021" w:rsidP="00B43021">
            <w:pPr>
              <w:tabs>
                <w:tab w:val="left" w:pos="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021">
              <w:rPr>
                <w:rFonts w:ascii="Times New Roman" w:hAnsi="Times New Roman"/>
                <w:sz w:val="24"/>
                <w:szCs w:val="24"/>
              </w:rPr>
              <w:t>-</w:t>
            </w:r>
            <w:r w:rsidRPr="00B43021">
              <w:rPr>
                <w:rFonts w:ascii="Times New Roman" w:hAnsi="Times New Roman"/>
                <w:sz w:val="24"/>
                <w:szCs w:val="24"/>
              </w:rPr>
              <w:tab/>
              <w:t>Фактов недостоверности бюджетной отчетности не выявлено.</w:t>
            </w:r>
          </w:p>
          <w:p w:rsidR="00011739" w:rsidRDefault="00B43021" w:rsidP="00B43021">
            <w:pPr>
              <w:tabs>
                <w:tab w:val="left" w:pos="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021">
              <w:rPr>
                <w:rFonts w:ascii="Times New Roman" w:hAnsi="Times New Roman"/>
                <w:sz w:val="24"/>
                <w:szCs w:val="24"/>
              </w:rPr>
              <w:t xml:space="preserve">- Выявлены факты, способные негативно повлиять на достоверность бюджетной отчетности: </w:t>
            </w:r>
            <w:r w:rsidRPr="00B43021">
              <w:rPr>
                <w:rFonts w:ascii="Times New Roman" w:hAnsi="Times New Roman"/>
                <w:sz w:val="24"/>
                <w:szCs w:val="24"/>
              </w:rPr>
              <w:lastRenderedPageBreak/>
              <w:t>отсутствуют данные о фактическом наличии инвентаризируемых объектов, членом инвентаризационной комиссии является материально ответственное лицо, в актах инвентаризации отсутствует подпись члена инвентаризационной комиссии.</w:t>
            </w:r>
          </w:p>
          <w:p w:rsidR="003E0B62" w:rsidRPr="003E0B62" w:rsidRDefault="003E0B62" w:rsidP="003E0B62">
            <w:pPr>
              <w:tabs>
                <w:tab w:val="left" w:pos="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3E0B62">
              <w:rPr>
                <w:rFonts w:ascii="Times New Roman" w:hAnsi="Times New Roman"/>
                <w:sz w:val="24"/>
                <w:szCs w:val="24"/>
              </w:rPr>
              <w:t>В ходе проведения проверки бюджетной отчетности МБОУ «</w:t>
            </w:r>
            <w:proofErr w:type="spellStart"/>
            <w:r w:rsidRPr="003E0B62">
              <w:rPr>
                <w:rFonts w:ascii="Times New Roman" w:hAnsi="Times New Roman"/>
                <w:sz w:val="24"/>
                <w:szCs w:val="24"/>
              </w:rPr>
              <w:t>Горковская</w:t>
            </w:r>
            <w:proofErr w:type="spellEnd"/>
            <w:r w:rsidRPr="003E0B62">
              <w:rPr>
                <w:rFonts w:ascii="Times New Roman" w:hAnsi="Times New Roman"/>
                <w:sz w:val="24"/>
                <w:szCs w:val="24"/>
              </w:rPr>
              <w:t xml:space="preserve"> СОШ» установлено следующее:</w:t>
            </w:r>
          </w:p>
          <w:p w:rsidR="003E0B62" w:rsidRPr="003E0B62" w:rsidRDefault="003E0B62" w:rsidP="003E0B62">
            <w:pPr>
              <w:tabs>
                <w:tab w:val="left" w:pos="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B62">
              <w:rPr>
                <w:rFonts w:ascii="Times New Roman" w:hAnsi="Times New Roman"/>
                <w:sz w:val="24"/>
                <w:szCs w:val="24"/>
              </w:rPr>
              <w:t xml:space="preserve">1) В нарушение п.9 Федерального стандарта бухгалтерского учета № 274н в Учетной политике не </w:t>
            </w:r>
            <w:proofErr w:type="gramStart"/>
            <w:r w:rsidRPr="003E0B62">
              <w:rPr>
                <w:rFonts w:ascii="Times New Roman" w:hAnsi="Times New Roman"/>
                <w:sz w:val="24"/>
                <w:szCs w:val="24"/>
              </w:rPr>
              <w:t>утверждены</w:t>
            </w:r>
            <w:proofErr w:type="gramEnd"/>
            <w:r w:rsidRPr="003E0B6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E0B62" w:rsidRPr="003E0B62" w:rsidRDefault="003E0B62" w:rsidP="003E0B62">
            <w:pPr>
              <w:tabs>
                <w:tab w:val="left" w:pos="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B62">
              <w:rPr>
                <w:rFonts w:ascii="Times New Roman" w:hAnsi="Times New Roman"/>
                <w:sz w:val="24"/>
                <w:szCs w:val="24"/>
              </w:rPr>
              <w:t>- методы оценки объектов бухгалтерского учета, порядок признания (постановка на учет) и прекращения признания (выбытие из учета) объектов бухгалтерского учета и (или) раскрытия информации о них в бухгалтерской (финансовой) отчетности;</w:t>
            </w:r>
          </w:p>
          <w:p w:rsidR="003E0B62" w:rsidRPr="003E0B62" w:rsidRDefault="003E0B62" w:rsidP="003E0B62">
            <w:pPr>
              <w:tabs>
                <w:tab w:val="left" w:pos="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B62">
              <w:rPr>
                <w:rFonts w:ascii="Times New Roman" w:hAnsi="Times New Roman"/>
                <w:sz w:val="24"/>
                <w:szCs w:val="24"/>
              </w:rPr>
              <w:t>- формы первичных (сводных) учетных документов, регистров бухгалтерского учета, иных документов бухгалтерского учета, по которым законодательством Российской Федерации не предусмотрены обязательные для их оформления формы документов;</w:t>
            </w:r>
          </w:p>
          <w:p w:rsidR="003E0B62" w:rsidRPr="003E0B62" w:rsidRDefault="003E0B62" w:rsidP="003E0B62">
            <w:pPr>
              <w:tabs>
                <w:tab w:val="left" w:pos="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B62">
              <w:rPr>
                <w:rFonts w:ascii="Times New Roman" w:hAnsi="Times New Roman"/>
                <w:sz w:val="24"/>
                <w:szCs w:val="24"/>
              </w:rPr>
              <w:t>- порядок признания в бухгалтерском учете и раскрытия в бухгалтерской (финансовой) отчетности событий после отчетной даты.</w:t>
            </w:r>
          </w:p>
          <w:p w:rsidR="003E0B62" w:rsidRPr="003E0B62" w:rsidRDefault="003E0B62" w:rsidP="003E0B62">
            <w:pPr>
              <w:tabs>
                <w:tab w:val="left" w:pos="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B62">
              <w:rPr>
                <w:rFonts w:ascii="Times New Roman" w:hAnsi="Times New Roman"/>
                <w:sz w:val="24"/>
                <w:szCs w:val="24"/>
              </w:rPr>
              <w:t xml:space="preserve">2) В нарушение п.72.1 Инструкции о порядке составления и представления отчётности № 33н в ф.0503775 «Сведения о принятых и неисполненных обязательствах» в графах 7, 8 не указана причина образования неисполненных расходных обязательств с указанием кодов причины </w:t>
            </w:r>
            <w:r w:rsidRPr="003E0B62">
              <w:rPr>
                <w:rFonts w:ascii="Times New Roman" w:hAnsi="Times New Roman"/>
                <w:sz w:val="24"/>
                <w:szCs w:val="24"/>
              </w:rPr>
              <w:lastRenderedPageBreak/>
              <w:t>неисполнения.</w:t>
            </w:r>
          </w:p>
          <w:p w:rsidR="003E0B62" w:rsidRPr="003E0B62" w:rsidRDefault="003E0B62" w:rsidP="003E0B62">
            <w:pPr>
              <w:tabs>
                <w:tab w:val="left" w:pos="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B62">
              <w:rPr>
                <w:rFonts w:ascii="Times New Roman" w:hAnsi="Times New Roman"/>
                <w:sz w:val="24"/>
                <w:szCs w:val="24"/>
              </w:rPr>
              <w:t>3) В нарушение п.66 Инструкции о порядке составления и представления отчётности № 33н в Сведениях об исполнении мероприятий в рамках субсидий на иные цели и на цели осуществления капитальных вложений (ф.0503766) в графах 7, 8 не указаны причины неисполнения (наличия отклонений между графами 4 и 5) на отчетную дату.</w:t>
            </w:r>
          </w:p>
          <w:p w:rsidR="003E0B62" w:rsidRPr="003E0B62" w:rsidRDefault="003E0B62" w:rsidP="003E0B62">
            <w:pPr>
              <w:tabs>
                <w:tab w:val="left" w:pos="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B62">
              <w:rPr>
                <w:rFonts w:ascii="Times New Roman" w:hAnsi="Times New Roman"/>
                <w:sz w:val="24"/>
                <w:szCs w:val="24"/>
              </w:rPr>
              <w:t>4) Показатели бухгалтерской отчетности составлены на основании данных Плана-финансово-хозяйственной деятельности, утвержденного 29.12.2018 (с изменениями и дополнениями от 31.12.2019), данных Главной книги и регистров бухгалтерского учета.</w:t>
            </w:r>
          </w:p>
          <w:p w:rsidR="003E0B62" w:rsidRPr="003E0B62" w:rsidRDefault="003E0B62" w:rsidP="003E0B62">
            <w:pPr>
              <w:tabs>
                <w:tab w:val="left" w:pos="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B62">
              <w:rPr>
                <w:rFonts w:ascii="Times New Roman" w:hAnsi="Times New Roman"/>
                <w:sz w:val="24"/>
                <w:szCs w:val="24"/>
              </w:rPr>
              <w:t>В ходе проведения внешней проверки бюджетной отчетности:</w:t>
            </w:r>
          </w:p>
          <w:p w:rsidR="003E0B62" w:rsidRPr="003E0B62" w:rsidRDefault="003E0B62" w:rsidP="003E0B62">
            <w:pPr>
              <w:tabs>
                <w:tab w:val="left" w:pos="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B62">
              <w:rPr>
                <w:rFonts w:ascii="Times New Roman" w:hAnsi="Times New Roman"/>
                <w:sz w:val="24"/>
                <w:szCs w:val="24"/>
              </w:rPr>
              <w:t xml:space="preserve">  - Фактов неполноты бюджетной отчетности не выявлено.</w:t>
            </w:r>
          </w:p>
          <w:p w:rsidR="003E0B62" w:rsidRPr="003E0B62" w:rsidRDefault="003E0B62" w:rsidP="003E0B62">
            <w:pPr>
              <w:tabs>
                <w:tab w:val="left" w:pos="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B62">
              <w:rPr>
                <w:rFonts w:ascii="Times New Roman" w:hAnsi="Times New Roman"/>
                <w:sz w:val="24"/>
                <w:szCs w:val="24"/>
              </w:rPr>
              <w:t>- Фактов недостоверности бюджетной отчетности не выявлено.</w:t>
            </w:r>
          </w:p>
          <w:p w:rsidR="003E0B62" w:rsidRPr="00B43021" w:rsidRDefault="003E0B62" w:rsidP="003E0B62">
            <w:pPr>
              <w:tabs>
                <w:tab w:val="left" w:pos="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B62">
              <w:rPr>
                <w:rFonts w:ascii="Times New Roman" w:hAnsi="Times New Roman"/>
                <w:sz w:val="24"/>
                <w:szCs w:val="24"/>
              </w:rPr>
              <w:t>- Фактов, способных негативно повлиять на достоверность бюджетной отчетности, не выявлено.</w:t>
            </w:r>
          </w:p>
        </w:tc>
        <w:tc>
          <w:tcPr>
            <w:tcW w:w="2126" w:type="dxa"/>
          </w:tcPr>
          <w:p w:rsidR="005A53DA" w:rsidRDefault="00011739" w:rsidP="0051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Заключение, отчет</w:t>
            </w:r>
            <w:r w:rsidR="001A5E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1528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B43021">
              <w:rPr>
                <w:rFonts w:ascii="Times New Roman" w:hAnsi="Times New Roman" w:cs="Times New Roman"/>
                <w:sz w:val="24"/>
                <w:szCs w:val="24"/>
              </w:rPr>
              <w:t>представлени</w:t>
            </w:r>
            <w:r w:rsidR="0051528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430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A5EA9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A53DA" w:rsidRDefault="003E0B62" w:rsidP="003E0B62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E0B62">
              <w:rPr>
                <w:rFonts w:ascii="Times New Roman" w:hAnsi="Times New Roman" w:cs="Times New Roman"/>
                <w:sz w:val="24"/>
                <w:szCs w:val="24"/>
              </w:rPr>
              <w:t>Предложения, указанные в представлении, исполнены полностью</w:t>
            </w:r>
          </w:p>
        </w:tc>
      </w:tr>
      <w:tr w:rsidR="005A53DA" w:rsidRPr="00FA6CA8" w:rsidTr="00BE3A9D">
        <w:tc>
          <w:tcPr>
            <w:tcW w:w="675" w:type="dxa"/>
          </w:tcPr>
          <w:p w:rsidR="005A53DA" w:rsidRPr="00FA6CA8" w:rsidRDefault="005A53DA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</w:tcPr>
          <w:p w:rsidR="005A53DA" w:rsidRPr="006547E8" w:rsidRDefault="00B24E25" w:rsidP="00E42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Внешняя проверка годовой бюджетной отчетности </w:t>
            </w:r>
            <w:r w:rsidR="00ED5EA6" w:rsidRPr="00ED5E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Финансово-казначейского управления Администрации Одинцовского городского округа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 2019 год</w:t>
            </w:r>
          </w:p>
        </w:tc>
        <w:tc>
          <w:tcPr>
            <w:tcW w:w="1984" w:type="dxa"/>
          </w:tcPr>
          <w:p w:rsidR="005A53DA" w:rsidRDefault="00B24E25" w:rsidP="00ED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2.</w:t>
            </w:r>
            <w:r w:rsidR="00ED5E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Контрольно-счетной палаты Одинцовского городского округа на 2020 год, утвержденного распоряжением Контрольно-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счетной палаты Одинцовского городского округа от 26.12.2019 года № 207 (с изменениями и дополнениями)</w:t>
            </w:r>
          </w:p>
        </w:tc>
        <w:tc>
          <w:tcPr>
            <w:tcW w:w="5671" w:type="dxa"/>
          </w:tcPr>
          <w:p w:rsidR="00ED5EA6" w:rsidRPr="00ED5EA6" w:rsidRDefault="00ED5EA6" w:rsidP="00ED5E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ED5EA6">
              <w:rPr>
                <w:rFonts w:ascii="Times New Roman" w:hAnsi="Times New Roman" w:cs="Times New Roman"/>
                <w:sz w:val="24"/>
                <w:szCs w:val="24"/>
              </w:rPr>
              <w:t>Выборочной проверкой форм бюджетной отчетности Финансово-казначейского управления установлено следующее:</w:t>
            </w:r>
          </w:p>
          <w:p w:rsidR="00ED5EA6" w:rsidRPr="00ED5EA6" w:rsidRDefault="00ED5EA6" w:rsidP="00ED5EA6">
            <w:pPr>
              <w:tabs>
                <w:tab w:val="left" w:pos="460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ED5EA6">
              <w:rPr>
                <w:rFonts w:ascii="Times New Roman" w:hAnsi="Times New Roman" w:cs="Times New Roman"/>
                <w:sz w:val="24"/>
                <w:szCs w:val="24"/>
              </w:rPr>
              <w:t xml:space="preserve">Годовая бюджетная отчетность главного распорядителя бюджетных средств – Финансово-казначейского управления за 2019 год представлена в соответствии с Бюджетным кодексом Российской Федерации и Инструкцией №191н. </w:t>
            </w:r>
          </w:p>
          <w:p w:rsidR="00ED5EA6" w:rsidRPr="00ED5EA6" w:rsidRDefault="00ED5EA6" w:rsidP="00ED5EA6">
            <w:pPr>
              <w:tabs>
                <w:tab w:val="left" w:pos="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A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ED5E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Годовая бюджетная отчетность главного распорядителя бюджетных средств за 2019 год составлена в соответствии со структурой и кодами </w:t>
            </w:r>
            <w:r w:rsidRPr="00ED5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бюджетной классификации, которые применялись при утверждении решения Совета депутатов Одинцовского муниципального района о бюджете на 2019 год и плановый период.</w:t>
            </w:r>
          </w:p>
          <w:p w:rsidR="00ED5EA6" w:rsidRPr="00ED5EA6" w:rsidRDefault="00ED5EA6" w:rsidP="00ED5E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A6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достоверности бюджетной отчетности во всех существенных отношениях проводилась на выборочной основе и включала в себя изучение документов, подтверждающих исполнение решения о бюджете Одинцовского муниципального района на отчетный финансовый год и показателей, характеризующих его исполнение, а также оценку регистров синтетического учета. </w:t>
            </w:r>
          </w:p>
          <w:p w:rsidR="00ED5EA6" w:rsidRPr="00ED5EA6" w:rsidRDefault="00ED5EA6" w:rsidP="00ED5E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ED5EA6">
              <w:rPr>
                <w:rFonts w:ascii="Times New Roman" w:hAnsi="Times New Roman" w:cs="Times New Roman"/>
                <w:sz w:val="24"/>
                <w:szCs w:val="24"/>
              </w:rPr>
              <w:t xml:space="preserve">При сопоставлении данных ф. 0503169 «Сведения по дебиторской и кредиторской задолженности» с данными баланса ф. 0503130 расхождений не установлено. </w:t>
            </w:r>
          </w:p>
          <w:p w:rsidR="00ED5EA6" w:rsidRPr="00ED5EA6" w:rsidRDefault="00ED5EA6" w:rsidP="00ED5E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ED5EA6">
              <w:rPr>
                <w:rFonts w:ascii="Times New Roman" w:hAnsi="Times New Roman" w:cs="Times New Roman"/>
                <w:sz w:val="24"/>
                <w:szCs w:val="24"/>
              </w:rPr>
              <w:t>При сопоставлении данных 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 с данными отчета о принятых бюджетных обязательствах (ф.0503128) расхождений не установлено.</w:t>
            </w:r>
          </w:p>
          <w:p w:rsidR="00ED5EA6" w:rsidRPr="00ED5EA6" w:rsidRDefault="00ED5EA6" w:rsidP="00ED5E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ED5EA6">
              <w:rPr>
                <w:rFonts w:ascii="Times New Roman" w:hAnsi="Times New Roman" w:cs="Times New Roman"/>
                <w:sz w:val="24"/>
                <w:szCs w:val="24"/>
              </w:rPr>
              <w:t>Состав бюджетной отчетности главного администратора доходов бюджета соответствует положениям Инструкции № 191н.</w:t>
            </w:r>
          </w:p>
          <w:p w:rsidR="00ED5EA6" w:rsidRPr="00ED5EA6" w:rsidRDefault="00ED5EA6" w:rsidP="00ED5E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A6">
              <w:rPr>
                <w:rFonts w:ascii="Times New Roman" w:hAnsi="Times New Roman" w:cs="Times New Roman"/>
                <w:sz w:val="24"/>
                <w:szCs w:val="24"/>
              </w:rPr>
              <w:t>Соотношения между показателями форм бюджетной отчетности главного администратора доходов бюджета - Финансово-казначейского управления соблюдены.</w:t>
            </w:r>
          </w:p>
          <w:p w:rsidR="00ED5EA6" w:rsidRPr="00ED5EA6" w:rsidRDefault="00ED5EA6" w:rsidP="00ED5EA6">
            <w:pPr>
              <w:pStyle w:val="a5"/>
              <w:numPr>
                <w:ilvl w:val="1"/>
                <w:numId w:val="13"/>
              </w:numPr>
              <w:tabs>
                <w:tab w:val="left" w:pos="993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EA6">
              <w:rPr>
                <w:rFonts w:ascii="Times New Roman" w:hAnsi="Times New Roman"/>
                <w:sz w:val="24"/>
                <w:szCs w:val="24"/>
              </w:rPr>
              <w:t xml:space="preserve">Состав бюджетной </w:t>
            </w:r>
            <w:proofErr w:type="gramStart"/>
            <w:r w:rsidRPr="00ED5EA6">
              <w:rPr>
                <w:rFonts w:ascii="Times New Roman" w:hAnsi="Times New Roman"/>
                <w:sz w:val="24"/>
                <w:szCs w:val="24"/>
              </w:rPr>
              <w:t xml:space="preserve">отчетности </w:t>
            </w:r>
            <w:r w:rsidRPr="00ED5EA6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администратора источников внутреннего финансирования дефицита бюджета</w:t>
            </w:r>
            <w:proofErr w:type="gramEnd"/>
            <w:r w:rsidRPr="00ED5EA6">
              <w:rPr>
                <w:rFonts w:ascii="Times New Roman" w:hAnsi="Times New Roman"/>
                <w:sz w:val="24"/>
                <w:szCs w:val="24"/>
              </w:rPr>
              <w:t xml:space="preserve"> соответствует положениям Инструкции № 191н.</w:t>
            </w:r>
          </w:p>
          <w:p w:rsidR="00ED5EA6" w:rsidRPr="00ED5EA6" w:rsidRDefault="00ED5EA6" w:rsidP="00ED5E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A6">
              <w:rPr>
                <w:rFonts w:ascii="Times New Roman" w:hAnsi="Times New Roman" w:cs="Times New Roman"/>
                <w:sz w:val="24"/>
                <w:szCs w:val="24"/>
              </w:rPr>
              <w:t>Соотношения между показателями форм бюджетной отчетности главного администратора доходов бюджета - Финансово-казначейского управления соблюдены.</w:t>
            </w:r>
          </w:p>
          <w:p w:rsidR="00ED5EA6" w:rsidRPr="00ED5EA6" w:rsidRDefault="00ED5EA6" w:rsidP="00ED5E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5EA6">
              <w:rPr>
                <w:rFonts w:ascii="Times New Roman" w:hAnsi="Times New Roman" w:cs="Times New Roman"/>
                <w:sz w:val="24"/>
                <w:szCs w:val="24"/>
              </w:rPr>
              <w:t>В нарушение п. 72, 72.1 Инструкции № 191н сведения, отраженные в графе 7 «Принятые бюджетные обязательства» раздела 3 «Обязательства финансовых годов, следующих за текущим (отчетным) финансовым годом» Отчета о бюджетных обязательствах (ф. 0503128) не подтверждены данными Главной книги, а именно данными по соответствующим счетам аналитического учета счета 1502X1000 «Принятые обязательства» в сумме кредитовых оборотов по счету.</w:t>
            </w:r>
            <w:proofErr w:type="gramEnd"/>
          </w:p>
          <w:p w:rsidR="00ED5EA6" w:rsidRPr="00ED5EA6" w:rsidRDefault="00ED5EA6" w:rsidP="00ED5E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 w:rsidRPr="00ED5EA6">
              <w:rPr>
                <w:rFonts w:ascii="Times New Roman" w:hAnsi="Times New Roman" w:cs="Times New Roman"/>
                <w:sz w:val="24"/>
                <w:szCs w:val="24"/>
              </w:rPr>
              <w:t>Выборочной проверкой форм бюджетной отчетности получателя бюджетных средств – Финансово-казначейского управления установлено следующее:</w:t>
            </w:r>
          </w:p>
          <w:p w:rsidR="00ED5EA6" w:rsidRPr="00ED5EA6" w:rsidRDefault="00ED5EA6" w:rsidP="00ED5EA6">
            <w:pPr>
              <w:tabs>
                <w:tab w:val="left" w:pos="336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A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ED5EA6">
              <w:rPr>
                <w:rFonts w:ascii="Times New Roman" w:hAnsi="Times New Roman" w:cs="Times New Roman"/>
                <w:sz w:val="24"/>
                <w:szCs w:val="24"/>
              </w:rPr>
              <w:tab/>
              <w:t>Перед составлением годовой бюджетной отчетности на основании приказа Финансово-казначейского управления от 18.11.2019 № 36 проведена инвентаризация денежных средств, бланков строгой отчетности, товарно-материальных ценностей, расчетов с дебиторами и кредиторами. Инвентаризация проведена по состоянию на 20.11.2019, в части инвентаризации расчетов с дебиторами и кредиторами - по состоянию на 31.12.2019.</w:t>
            </w:r>
          </w:p>
          <w:p w:rsidR="00ED5EA6" w:rsidRPr="00ED5EA6" w:rsidRDefault="00ED5EA6" w:rsidP="00ED5E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A6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требований, установленных ч. 1 ст. 11 </w:t>
            </w:r>
            <w:r w:rsidRPr="00ED5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закона от 06.12.2011 № 402-ФЗ «О бухгалтерском учете», п. 3.49 Методических указаний по инвентаризации имущества № 49, инвентаризация резервов предстоящих расходов и платежей, оценочных резервов не проведена (документы к проверке не представлены).</w:t>
            </w:r>
          </w:p>
          <w:p w:rsidR="00ED5EA6" w:rsidRPr="00ED5EA6" w:rsidRDefault="00ED5EA6" w:rsidP="00ED5EA6">
            <w:pPr>
              <w:tabs>
                <w:tab w:val="left" w:pos="318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A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ED5EA6">
              <w:rPr>
                <w:rFonts w:ascii="Times New Roman" w:hAnsi="Times New Roman" w:cs="Times New Roman"/>
                <w:sz w:val="24"/>
                <w:szCs w:val="24"/>
              </w:rPr>
              <w:tab/>
              <w:t>Соотношения между показателями форм бюджетной отчетности главного администратора доходов бюджета - Финансово-казначейского управления соблюдены.</w:t>
            </w:r>
          </w:p>
          <w:p w:rsidR="00ED5EA6" w:rsidRPr="00ED5EA6" w:rsidRDefault="00ED5EA6" w:rsidP="00ED5E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  <w:r w:rsidRPr="00ED5EA6">
              <w:rPr>
                <w:rFonts w:ascii="Times New Roman" w:hAnsi="Times New Roman" w:cs="Times New Roman"/>
                <w:sz w:val="24"/>
                <w:szCs w:val="24"/>
              </w:rPr>
              <w:t>В ходе проведения внешней проверки бюджетной отчетности Финансово-казначейского управления:</w:t>
            </w:r>
          </w:p>
          <w:p w:rsidR="00ED5EA6" w:rsidRPr="00ED5EA6" w:rsidRDefault="00ED5EA6" w:rsidP="00ED5EA6">
            <w:pPr>
              <w:pStyle w:val="a5"/>
              <w:numPr>
                <w:ilvl w:val="0"/>
                <w:numId w:val="15"/>
              </w:numPr>
              <w:tabs>
                <w:tab w:val="left" w:pos="318"/>
                <w:tab w:val="left" w:pos="993"/>
              </w:tabs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EA6">
              <w:rPr>
                <w:rFonts w:ascii="Times New Roman" w:hAnsi="Times New Roman"/>
                <w:sz w:val="24"/>
                <w:szCs w:val="24"/>
              </w:rPr>
              <w:t>Фактов неполноты бюджетной отчетности не выявлено.</w:t>
            </w:r>
          </w:p>
          <w:p w:rsidR="00ED5EA6" w:rsidRPr="00ED5EA6" w:rsidRDefault="00ED5EA6" w:rsidP="00ED5EA6">
            <w:pPr>
              <w:pStyle w:val="a5"/>
              <w:numPr>
                <w:ilvl w:val="0"/>
                <w:numId w:val="15"/>
              </w:numPr>
              <w:tabs>
                <w:tab w:val="left" w:pos="318"/>
                <w:tab w:val="left" w:pos="993"/>
              </w:tabs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EA6">
              <w:rPr>
                <w:rFonts w:ascii="Times New Roman" w:hAnsi="Times New Roman"/>
                <w:sz w:val="24"/>
                <w:szCs w:val="24"/>
              </w:rPr>
              <w:t>Фактов недостоверности бюджетной отчетности не выявлено.</w:t>
            </w:r>
          </w:p>
          <w:p w:rsidR="00ED5EA6" w:rsidRPr="00ED5EA6" w:rsidRDefault="00ED5EA6" w:rsidP="00ED5EA6">
            <w:pPr>
              <w:pStyle w:val="a5"/>
              <w:numPr>
                <w:ilvl w:val="0"/>
                <w:numId w:val="15"/>
              </w:numPr>
              <w:tabs>
                <w:tab w:val="left" w:pos="318"/>
                <w:tab w:val="left" w:pos="993"/>
              </w:tabs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EA6">
              <w:rPr>
                <w:rFonts w:ascii="Times New Roman" w:hAnsi="Times New Roman"/>
                <w:sz w:val="24"/>
                <w:szCs w:val="24"/>
              </w:rPr>
              <w:t xml:space="preserve">Выявлены факты, способные негативно повлиять на достоверность отчетности. </w:t>
            </w:r>
            <w:proofErr w:type="gramStart"/>
            <w:r w:rsidRPr="00ED5EA6">
              <w:rPr>
                <w:rFonts w:ascii="Times New Roman" w:hAnsi="Times New Roman"/>
                <w:sz w:val="24"/>
                <w:szCs w:val="24"/>
              </w:rPr>
              <w:t>Так, информация о принятых бюджетных обязательствах финансовых годов, следующих за текущим (отчетным) финансовым годом, Отчета о бюджетных обязательствах (ф. 0503128) ФКУ как администратора источников внутреннего финансирования дефицита бюджета не подтверждена данными регистров бухгалтерского учета, а также допущены нарушения Методических указаний по инвентаризации имущества № 49 в части проведения инвентаризации отдельных видов финансовых обязательств.</w:t>
            </w:r>
            <w:proofErr w:type="gramEnd"/>
          </w:p>
          <w:p w:rsidR="00ED5EA6" w:rsidRPr="00ED5EA6" w:rsidRDefault="00ED5EA6" w:rsidP="00ED5E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1.6. </w:t>
            </w:r>
            <w:r w:rsidRPr="00ED5EA6"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проведения проверки порядка составления, утверждения и ведения бюджетных смет Финансово-казначейского управления  </w:t>
            </w:r>
            <w:r w:rsidRPr="00ED5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 не установлено.</w:t>
            </w:r>
          </w:p>
          <w:p w:rsidR="00ED5EA6" w:rsidRPr="00ED5EA6" w:rsidRDefault="00ED5EA6" w:rsidP="00ED5E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1.7. </w:t>
            </w:r>
            <w:r w:rsidRPr="00ED5EA6">
              <w:rPr>
                <w:rFonts w:ascii="Times New Roman" w:hAnsi="Times New Roman" w:cs="Times New Roman"/>
                <w:sz w:val="24"/>
                <w:szCs w:val="24"/>
              </w:rPr>
              <w:t>В ходе проведения порядка составления и ведения бюджетной росписи главного распорядителя бюджетных средств Финансово-казначейского управления  установлено следующее.</w:t>
            </w:r>
          </w:p>
          <w:p w:rsidR="00ED5EA6" w:rsidRPr="00ED5EA6" w:rsidRDefault="00ED5EA6" w:rsidP="00ED5E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5EA6">
              <w:rPr>
                <w:rFonts w:ascii="Times New Roman" w:hAnsi="Times New Roman" w:cs="Times New Roman"/>
                <w:sz w:val="24"/>
                <w:szCs w:val="24"/>
              </w:rPr>
              <w:t xml:space="preserve">Бюджетная роспись Финансово-казначейского управления на 2019 год и плановый период 2020-2021 годов на 20.12.2018 утверждена на 2019 год в сумме 344 445,000 тыс. руб., в то время как бюджетные ассигнования, утвержденные сводной бюджетной росписью, и лимиты бюджетных обязательств по соответствующему главному распорядителю бюджетных средств доведены на основании уведомлений от 20.12.2018 в сумме 716 149,286 тыс. руб. </w:t>
            </w:r>
            <w:proofErr w:type="gramEnd"/>
          </w:p>
          <w:p w:rsidR="00ED5EA6" w:rsidRPr="00ED5EA6" w:rsidRDefault="00ED5EA6" w:rsidP="00ED5E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A6">
              <w:rPr>
                <w:rFonts w:ascii="Times New Roman" w:hAnsi="Times New Roman" w:cs="Times New Roman"/>
                <w:sz w:val="24"/>
                <w:szCs w:val="24"/>
              </w:rPr>
              <w:t>Данное несоответствие между бюджетной росписью и доведенными лимитами бюджетных обязатель</w:t>
            </w:r>
            <w:proofErr w:type="gramStart"/>
            <w:r w:rsidRPr="00ED5EA6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Pr="00ED5EA6">
              <w:rPr>
                <w:rFonts w:ascii="Times New Roman" w:hAnsi="Times New Roman" w:cs="Times New Roman"/>
                <w:sz w:val="24"/>
                <w:szCs w:val="24"/>
              </w:rPr>
              <w:t>язано с распределением средств по виду расходов 870 «Резервные средства».</w:t>
            </w:r>
          </w:p>
          <w:p w:rsidR="00ED5EA6" w:rsidRPr="00ED5EA6" w:rsidRDefault="00ED5EA6" w:rsidP="00ED5E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D5EA6"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проведения проверки бюджетной отчетности Централизованной бухгалтерии установлены следующие нарушения и недостатки. </w:t>
            </w:r>
          </w:p>
          <w:p w:rsidR="00ED5EA6" w:rsidRPr="00ED5EA6" w:rsidRDefault="00ED5EA6" w:rsidP="00ED5E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ED5EA6">
              <w:rPr>
                <w:rFonts w:ascii="Times New Roman" w:hAnsi="Times New Roman" w:cs="Times New Roman"/>
                <w:sz w:val="24"/>
                <w:szCs w:val="24"/>
              </w:rPr>
              <w:t>При проведении инвентаризации допущены отдельные нарушения требований Методические указания по инвентаризации имущества № 49, а именно в отдельных инвентаризационных описях отсутствовали подписи материально-ответственных лиц.</w:t>
            </w:r>
          </w:p>
          <w:p w:rsidR="00ED5EA6" w:rsidRPr="00ED5EA6" w:rsidRDefault="00ED5EA6" w:rsidP="00ED5E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proofErr w:type="gramStart"/>
            <w:r w:rsidRPr="00ED5EA6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требований, установленных ч. 1 ст. 11 Федерального закона от 06.12.2011 № 402-ФЗ «О бухгалтерском учете», п. 3.35, 3.43, 3.49 Методических указаний по инвентаризации имущества № 49, инвентаризация расходов будущих </w:t>
            </w:r>
            <w:r w:rsidRPr="00ED5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периодов, денежных средств, денежных документов и бланков документов строгой отчетности и резервов предстоящих расходов и платежей, оценочных резервов не проведена (документы к проверке не представлены).</w:t>
            </w:r>
            <w:proofErr w:type="gramEnd"/>
          </w:p>
          <w:p w:rsidR="00ED5EA6" w:rsidRPr="00ED5EA6" w:rsidRDefault="00ED5EA6" w:rsidP="00ED5E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Pr="00ED5EA6">
              <w:rPr>
                <w:rFonts w:ascii="Times New Roman" w:hAnsi="Times New Roman" w:cs="Times New Roman"/>
                <w:sz w:val="24"/>
                <w:szCs w:val="24"/>
              </w:rPr>
              <w:t>Выборочной проверкой форм бюджетной отчетности Централизованная бухгалтерия установлено следующее:</w:t>
            </w:r>
          </w:p>
          <w:p w:rsidR="00ED5EA6" w:rsidRPr="00ED5EA6" w:rsidRDefault="00ED5EA6" w:rsidP="00ED5E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A6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 170.2. </w:t>
            </w:r>
            <w:proofErr w:type="gramStart"/>
            <w:r w:rsidRPr="00ED5EA6">
              <w:rPr>
                <w:rFonts w:ascii="Times New Roman" w:hAnsi="Times New Roman" w:cs="Times New Roman"/>
                <w:sz w:val="24"/>
                <w:szCs w:val="24"/>
              </w:rPr>
              <w:t>Инструкции № 191 н в графе 2 раздела 1 Сведений о принятых и неисполненных обязательствах получателя бюджетных средств (ф. 0503175) отражены данные по принятым обязательствам на текущий финансовый год по начислению на выплаты по оплате труда в сумме (-) 1 275,120 тыс. руб., не подтвержденные данными регистров бухгалтерского учета, а именно данными  счета 150211213 «Принятые обязательства на текущий финансовый год по начислению</w:t>
            </w:r>
            <w:proofErr w:type="gramEnd"/>
            <w:r w:rsidRPr="00ED5EA6">
              <w:rPr>
                <w:rFonts w:ascii="Times New Roman" w:hAnsi="Times New Roman" w:cs="Times New Roman"/>
                <w:sz w:val="24"/>
                <w:szCs w:val="24"/>
              </w:rPr>
              <w:t xml:space="preserve"> на выплаты по оплате труда» со знаком «минус».</w:t>
            </w:r>
          </w:p>
          <w:p w:rsidR="00ED5EA6" w:rsidRPr="00ED5EA6" w:rsidRDefault="00ED5EA6" w:rsidP="00ED5E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5EA6">
              <w:rPr>
                <w:rFonts w:ascii="Times New Roman" w:hAnsi="Times New Roman" w:cs="Times New Roman"/>
                <w:sz w:val="24"/>
                <w:szCs w:val="24"/>
              </w:rPr>
              <w:t>Также, в связи с вышеизложенным данные, отраженные в графе 11 «Не исполнено принятых бюджетных обязательств» раздела 1 «Бюджетные обязательства текущего (отчетного) финансового года по расходам» Отчета о бюджетных обязательствах (ф. 0503128) не соответствуют общей сумме неисполненных обязательств, отраженной в графе 2 раздела 1 Сведений о принятых и неисполненных обязательствах получателя бюджетных средств (ф. 0503175): в Отчете о бюджетных обязательствах (ф</w:t>
            </w:r>
            <w:proofErr w:type="gramEnd"/>
            <w:r w:rsidRPr="00ED5EA6">
              <w:rPr>
                <w:rFonts w:ascii="Times New Roman" w:hAnsi="Times New Roman" w:cs="Times New Roman"/>
                <w:sz w:val="24"/>
                <w:szCs w:val="24"/>
              </w:rPr>
              <w:t>. 0503128) не исполненные принятые бюджетные обязательства отражены в сумме 863,518 тыс. руб., в Сведениях (ф. 0503175) - в сумме (-) 411,602 тыс. руб.</w:t>
            </w:r>
          </w:p>
          <w:p w:rsidR="00ED5EA6" w:rsidRPr="00ED5EA6" w:rsidRDefault="00ED5EA6" w:rsidP="00ED5E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консолидированной отчетности главного распорядителя бюджетных средств информация о неисполненных принятых бюджетных обязательствах, отраженная в Отчете о бюджетных обязательствах (ф. 0503128), соответствует данным, представленным в Сведениях о принятых и неисполненных обязательствах получателя бюджетных средств (ф. 0503175).</w:t>
            </w:r>
          </w:p>
          <w:p w:rsidR="00ED5EA6" w:rsidRPr="00ED5EA6" w:rsidRDefault="00ED5EA6" w:rsidP="00ED5EA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Pr="00ED5EA6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проверки бюджетной отчетности Централизованной бухгалтерии:</w:t>
            </w:r>
          </w:p>
          <w:p w:rsidR="00ED5EA6" w:rsidRPr="00ED5EA6" w:rsidRDefault="00ED5EA6" w:rsidP="00ED5EA6">
            <w:pPr>
              <w:pStyle w:val="a5"/>
              <w:numPr>
                <w:ilvl w:val="0"/>
                <w:numId w:val="16"/>
              </w:numPr>
              <w:tabs>
                <w:tab w:val="left" w:pos="318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EA6">
              <w:rPr>
                <w:rFonts w:ascii="Times New Roman" w:hAnsi="Times New Roman"/>
                <w:sz w:val="24"/>
                <w:szCs w:val="24"/>
              </w:rPr>
              <w:t>Фактов неполноты бюджетной отчетности не выявлено.</w:t>
            </w:r>
          </w:p>
          <w:p w:rsidR="00ED5EA6" w:rsidRPr="00ED5EA6" w:rsidRDefault="00ED5EA6" w:rsidP="00ED5EA6">
            <w:pPr>
              <w:pStyle w:val="a5"/>
              <w:numPr>
                <w:ilvl w:val="0"/>
                <w:numId w:val="16"/>
              </w:numPr>
              <w:tabs>
                <w:tab w:val="left" w:pos="318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EA6">
              <w:rPr>
                <w:rFonts w:ascii="Times New Roman" w:hAnsi="Times New Roman"/>
                <w:sz w:val="24"/>
                <w:szCs w:val="24"/>
              </w:rPr>
              <w:t>Фактов недостоверности бюджетной отчетности не выявлено.</w:t>
            </w:r>
          </w:p>
          <w:p w:rsidR="00ED5EA6" w:rsidRPr="00ED5EA6" w:rsidRDefault="00ED5EA6" w:rsidP="00ED5EA6">
            <w:pPr>
              <w:pStyle w:val="a5"/>
              <w:numPr>
                <w:ilvl w:val="0"/>
                <w:numId w:val="16"/>
              </w:numPr>
              <w:tabs>
                <w:tab w:val="left" w:pos="318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EA6">
              <w:rPr>
                <w:rFonts w:ascii="Times New Roman" w:hAnsi="Times New Roman"/>
                <w:sz w:val="24"/>
                <w:szCs w:val="24"/>
              </w:rPr>
              <w:t>Выявлены факты, способные негативно повлиять на достоверность отчетности: данные по неисполненным бюджетным обязательствам, отраженные в Отчете о бюджетных обязательствах (ф. 0503128), не соответствуют аналогичным данным Сведений о принятых и неисполненных обязательствах получателя бюджетных средств (ф. 0503175). Также Централизованной бухгалтерией допущены отдельные нарушения требований Методических указаний по инвентаризации имущества № 49 в части проведения инвентаризации отдельных видов финансовых обязательств.</w:t>
            </w:r>
          </w:p>
          <w:p w:rsidR="005A53DA" w:rsidRPr="00DB703C" w:rsidRDefault="00ED5EA6" w:rsidP="00DB703C">
            <w:pPr>
              <w:pStyle w:val="a5"/>
              <w:numPr>
                <w:ilvl w:val="0"/>
                <w:numId w:val="13"/>
              </w:numPr>
              <w:tabs>
                <w:tab w:val="left" w:pos="364"/>
                <w:tab w:val="left" w:pos="993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03C">
              <w:rPr>
                <w:rFonts w:ascii="Times New Roman" w:hAnsi="Times New Roman"/>
                <w:sz w:val="24"/>
                <w:szCs w:val="24"/>
              </w:rPr>
              <w:t>В ходе проведения проверки порядка составления, утверждения и ведения бюджетных смет Централизованной бухгалтерии нарушений не установлено.</w:t>
            </w:r>
          </w:p>
        </w:tc>
        <w:tc>
          <w:tcPr>
            <w:tcW w:w="2126" w:type="dxa"/>
          </w:tcPr>
          <w:p w:rsidR="005A53DA" w:rsidRDefault="00B24E25" w:rsidP="00DA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Заключение, </w:t>
            </w:r>
            <w:r w:rsidR="00DA43A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</w:t>
            </w:r>
            <w:r w:rsidR="00DA43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отчет</w:t>
            </w:r>
            <w:r w:rsidR="00F94889">
              <w:rPr>
                <w:rFonts w:ascii="Times New Roman" w:hAnsi="Times New Roman" w:cs="Times New Roman"/>
                <w:sz w:val="24"/>
                <w:szCs w:val="24"/>
              </w:rPr>
              <w:t xml:space="preserve">, информационное письмо </w:t>
            </w:r>
          </w:p>
        </w:tc>
        <w:tc>
          <w:tcPr>
            <w:tcW w:w="1843" w:type="dxa"/>
          </w:tcPr>
          <w:p w:rsidR="005A53DA" w:rsidRDefault="00B24E25" w:rsidP="005A26E1">
            <w:pPr>
              <w:tabs>
                <w:tab w:val="left" w:pos="116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Предложения, указанные в представлении, исполнены полностью</w:t>
            </w:r>
          </w:p>
        </w:tc>
      </w:tr>
    </w:tbl>
    <w:p w:rsidR="008D02C5" w:rsidRPr="00047DBE" w:rsidRDefault="008D02C5">
      <w:pPr>
        <w:rPr>
          <w:rFonts w:ascii="Times New Roman" w:hAnsi="Times New Roman" w:cs="Times New Roman"/>
          <w:sz w:val="28"/>
          <w:szCs w:val="28"/>
        </w:rPr>
      </w:pPr>
    </w:p>
    <w:sectPr w:rsidR="008D02C5" w:rsidRPr="00047DBE" w:rsidSect="008D02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33FA9"/>
    <w:multiLevelType w:val="hybridMultilevel"/>
    <w:tmpl w:val="0B16CF5E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07AB4"/>
    <w:multiLevelType w:val="hybridMultilevel"/>
    <w:tmpl w:val="3F12EE42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43819"/>
    <w:multiLevelType w:val="hybridMultilevel"/>
    <w:tmpl w:val="9D14B744"/>
    <w:lvl w:ilvl="0" w:tplc="D4184D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58479D"/>
    <w:multiLevelType w:val="hybridMultilevel"/>
    <w:tmpl w:val="EE026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C6A52"/>
    <w:multiLevelType w:val="multilevel"/>
    <w:tmpl w:val="038A1A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97" w:hanging="2160"/>
      </w:pPr>
      <w:rPr>
        <w:rFonts w:hint="default"/>
      </w:rPr>
    </w:lvl>
  </w:abstractNum>
  <w:abstractNum w:abstractNumId="5">
    <w:nsid w:val="31914426"/>
    <w:multiLevelType w:val="hybridMultilevel"/>
    <w:tmpl w:val="2A962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05A22"/>
    <w:multiLevelType w:val="hybridMultilevel"/>
    <w:tmpl w:val="0700F2F2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35658C"/>
    <w:multiLevelType w:val="hybridMultilevel"/>
    <w:tmpl w:val="E3F2654C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4E751BDC"/>
    <w:multiLevelType w:val="hybridMultilevel"/>
    <w:tmpl w:val="E0D872E8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F95F86"/>
    <w:multiLevelType w:val="hybridMultilevel"/>
    <w:tmpl w:val="BF9086A0"/>
    <w:lvl w:ilvl="0" w:tplc="D4184D7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5A7F164F"/>
    <w:multiLevelType w:val="hybridMultilevel"/>
    <w:tmpl w:val="0B0C233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CF916B0"/>
    <w:multiLevelType w:val="hybridMultilevel"/>
    <w:tmpl w:val="0E82EB96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823315"/>
    <w:multiLevelType w:val="hybridMultilevel"/>
    <w:tmpl w:val="20465E88"/>
    <w:lvl w:ilvl="0" w:tplc="A64ACE6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A4A6AAE"/>
    <w:multiLevelType w:val="hybridMultilevel"/>
    <w:tmpl w:val="A9801B3E"/>
    <w:lvl w:ilvl="0" w:tplc="7F2E9F02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7CB7C4F"/>
    <w:multiLevelType w:val="multilevel"/>
    <w:tmpl w:val="9B907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7F952D4"/>
    <w:multiLevelType w:val="hybridMultilevel"/>
    <w:tmpl w:val="DCBA4C90"/>
    <w:lvl w:ilvl="0" w:tplc="B65214BC">
      <w:start w:val="1"/>
      <w:numFmt w:val="decimal"/>
      <w:lvlText w:val="%1."/>
      <w:lvlJc w:val="left"/>
      <w:pPr>
        <w:ind w:left="1068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2"/>
  </w:num>
  <w:num w:numId="5">
    <w:abstractNumId w:val="15"/>
  </w:num>
  <w:num w:numId="6">
    <w:abstractNumId w:val="10"/>
  </w:num>
  <w:num w:numId="7">
    <w:abstractNumId w:val="4"/>
  </w:num>
  <w:num w:numId="8">
    <w:abstractNumId w:val="8"/>
  </w:num>
  <w:num w:numId="9">
    <w:abstractNumId w:val="11"/>
  </w:num>
  <w:num w:numId="10">
    <w:abstractNumId w:val="3"/>
  </w:num>
  <w:num w:numId="11">
    <w:abstractNumId w:val="5"/>
  </w:num>
  <w:num w:numId="12">
    <w:abstractNumId w:val="9"/>
  </w:num>
  <w:num w:numId="13">
    <w:abstractNumId w:val="14"/>
  </w:num>
  <w:num w:numId="14">
    <w:abstractNumId w:val="0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C5"/>
    <w:rsid w:val="00011739"/>
    <w:rsid w:val="000138CD"/>
    <w:rsid w:val="00032DE3"/>
    <w:rsid w:val="00047DBE"/>
    <w:rsid w:val="0005620B"/>
    <w:rsid w:val="000E2021"/>
    <w:rsid w:val="001313EC"/>
    <w:rsid w:val="0014113D"/>
    <w:rsid w:val="00196C52"/>
    <w:rsid w:val="00196E62"/>
    <w:rsid w:val="001A5EA9"/>
    <w:rsid w:val="001B1890"/>
    <w:rsid w:val="00204296"/>
    <w:rsid w:val="0021021C"/>
    <w:rsid w:val="002268B0"/>
    <w:rsid w:val="00231841"/>
    <w:rsid w:val="00243B68"/>
    <w:rsid w:val="003559D6"/>
    <w:rsid w:val="0036702D"/>
    <w:rsid w:val="00390DDA"/>
    <w:rsid w:val="003C57B9"/>
    <w:rsid w:val="003D0D6E"/>
    <w:rsid w:val="003E0B62"/>
    <w:rsid w:val="003E1F73"/>
    <w:rsid w:val="00456077"/>
    <w:rsid w:val="0047421C"/>
    <w:rsid w:val="00480D02"/>
    <w:rsid w:val="00492EDF"/>
    <w:rsid w:val="004C7D30"/>
    <w:rsid w:val="004D42E8"/>
    <w:rsid w:val="00515286"/>
    <w:rsid w:val="00595750"/>
    <w:rsid w:val="005A2110"/>
    <w:rsid w:val="005A26E1"/>
    <w:rsid w:val="005A53DA"/>
    <w:rsid w:val="005C68B1"/>
    <w:rsid w:val="005D2FE2"/>
    <w:rsid w:val="005F25C6"/>
    <w:rsid w:val="005F3A20"/>
    <w:rsid w:val="00642F78"/>
    <w:rsid w:val="006547E8"/>
    <w:rsid w:val="00661F9C"/>
    <w:rsid w:val="00673758"/>
    <w:rsid w:val="0067589F"/>
    <w:rsid w:val="00690209"/>
    <w:rsid w:val="00694771"/>
    <w:rsid w:val="006C2FAC"/>
    <w:rsid w:val="006D4EBC"/>
    <w:rsid w:val="006F26C4"/>
    <w:rsid w:val="007042E8"/>
    <w:rsid w:val="0073353E"/>
    <w:rsid w:val="0074745A"/>
    <w:rsid w:val="007A2AB6"/>
    <w:rsid w:val="007C74D2"/>
    <w:rsid w:val="007D4388"/>
    <w:rsid w:val="00824B7C"/>
    <w:rsid w:val="00830413"/>
    <w:rsid w:val="0083246F"/>
    <w:rsid w:val="00857BB4"/>
    <w:rsid w:val="00873C74"/>
    <w:rsid w:val="008A6AF9"/>
    <w:rsid w:val="008B5999"/>
    <w:rsid w:val="008B6349"/>
    <w:rsid w:val="008C3D21"/>
    <w:rsid w:val="008D02C5"/>
    <w:rsid w:val="008E3D1C"/>
    <w:rsid w:val="008F6646"/>
    <w:rsid w:val="008F74BF"/>
    <w:rsid w:val="0090278A"/>
    <w:rsid w:val="0093491C"/>
    <w:rsid w:val="00942D02"/>
    <w:rsid w:val="0098334F"/>
    <w:rsid w:val="00985289"/>
    <w:rsid w:val="009A2F4C"/>
    <w:rsid w:val="009A3F39"/>
    <w:rsid w:val="009F29D4"/>
    <w:rsid w:val="00A168BD"/>
    <w:rsid w:val="00A20D06"/>
    <w:rsid w:val="00A34E01"/>
    <w:rsid w:val="00A60EA3"/>
    <w:rsid w:val="00A6228E"/>
    <w:rsid w:val="00A629FE"/>
    <w:rsid w:val="00A65EF2"/>
    <w:rsid w:val="00A90CD9"/>
    <w:rsid w:val="00AF2FAC"/>
    <w:rsid w:val="00B24E25"/>
    <w:rsid w:val="00B32ACA"/>
    <w:rsid w:val="00B43021"/>
    <w:rsid w:val="00BE3A9D"/>
    <w:rsid w:val="00C17420"/>
    <w:rsid w:val="00C21A4B"/>
    <w:rsid w:val="00C71F4A"/>
    <w:rsid w:val="00CA2796"/>
    <w:rsid w:val="00CB1729"/>
    <w:rsid w:val="00CC5C78"/>
    <w:rsid w:val="00CE5886"/>
    <w:rsid w:val="00CF0812"/>
    <w:rsid w:val="00CF21AA"/>
    <w:rsid w:val="00D13599"/>
    <w:rsid w:val="00D177BE"/>
    <w:rsid w:val="00D46365"/>
    <w:rsid w:val="00D95B8F"/>
    <w:rsid w:val="00DA43A9"/>
    <w:rsid w:val="00DB703C"/>
    <w:rsid w:val="00DC7B6A"/>
    <w:rsid w:val="00DD0D35"/>
    <w:rsid w:val="00E33937"/>
    <w:rsid w:val="00E42516"/>
    <w:rsid w:val="00E6464C"/>
    <w:rsid w:val="00EC5E12"/>
    <w:rsid w:val="00ED5EA6"/>
    <w:rsid w:val="00ED6CA6"/>
    <w:rsid w:val="00F0251D"/>
    <w:rsid w:val="00F47B27"/>
    <w:rsid w:val="00F7439D"/>
    <w:rsid w:val="00F94889"/>
    <w:rsid w:val="00FA6CA8"/>
    <w:rsid w:val="00FB51A5"/>
    <w:rsid w:val="00FD77BB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5"/>
    <w:uiPriority w:val="34"/>
    <w:locked/>
    <w:rsid w:val="00673758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34"/>
    <w:qFormat/>
    <w:rsid w:val="0067375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6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EA3"/>
    <w:rPr>
      <w:rFonts w:ascii="Tahoma" w:hAnsi="Tahoma" w:cs="Tahoma"/>
      <w:sz w:val="16"/>
      <w:szCs w:val="16"/>
    </w:rPr>
  </w:style>
  <w:style w:type="character" w:styleId="a8">
    <w:name w:val="Hyperlink"/>
    <w:unhideWhenUsed/>
    <w:rsid w:val="000E20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5"/>
    <w:uiPriority w:val="34"/>
    <w:locked/>
    <w:rsid w:val="00673758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34"/>
    <w:qFormat/>
    <w:rsid w:val="0067375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6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EA3"/>
    <w:rPr>
      <w:rFonts w:ascii="Tahoma" w:hAnsi="Tahoma" w:cs="Tahoma"/>
      <w:sz w:val="16"/>
      <w:szCs w:val="16"/>
    </w:rPr>
  </w:style>
  <w:style w:type="character" w:styleId="a8">
    <w:name w:val="Hyperlink"/>
    <w:unhideWhenUsed/>
    <w:rsid w:val="000E20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AC891-0E29-4191-AC0F-A896F1D6C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</TotalTime>
  <Pages>14</Pages>
  <Words>3000</Words>
  <Characters>17103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User9</cp:lastModifiedBy>
  <cp:revision>80</cp:revision>
  <cp:lastPrinted>2017-06-19T07:00:00Z</cp:lastPrinted>
  <dcterms:created xsi:type="dcterms:W3CDTF">2017-06-16T08:43:00Z</dcterms:created>
  <dcterms:modified xsi:type="dcterms:W3CDTF">2020-09-01T13:52:00Z</dcterms:modified>
</cp:coreProperties>
</file>