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175B40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="00175B4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05640">
        <w:rPr>
          <w:rFonts w:ascii="Times New Roman" w:eastAsia="Calibri" w:hAnsi="Times New Roman" w:cs="Times New Roman"/>
          <w:sz w:val="28"/>
          <w:szCs w:val="28"/>
        </w:rPr>
        <w:t>а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E05640">
        <w:rPr>
          <w:rFonts w:ascii="Times New Roman" w:eastAsia="Calibri" w:hAnsi="Times New Roman" w:cs="Times New Roman"/>
          <w:sz w:val="28"/>
          <w:szCs w:val="28"/>
        </w:rPr>
        <w:t>я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E05640">
        <w:rPr>
          <w:rFonts w:ascii="Times New Roman" w:eastAsia="Calibri" w:hAnsi="Times New Roman" w:cs="Times New Roman"/>
          <w:sz w:val="28"/>
          <w:szCs w:val="28"/>
        </w:rPr>
        <w:t>Одинцовского городского</w:t>
      </w:r>
      <w:proofErr w:type="gramEnd"/>
      <w:r w:rsidR="00E05640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="00E05640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на 20</w:t>
      </w:r>
      <w:r w:rsidR="00E05640" w:rsidRPr="00E05640">
        <w:rPr>
          <w:rFonts w:ascii="Times New Roman" w:eastAsia="Calibri" w:hAnsi="Times New Roman" w:cs="Times New Roman"/>
          <w:sz w:val="28"/>
          <w:szCs w:val="28"/>
        </w:rPr>
        <w:t>2</w:t>
      </w:r>
      <w:r w:rsidR="00E05640">
        <w:rPr>
          <w:rFonts w:ascii="Times New Roman" w:eastAsia="Calibri" w:hAnsi="Times New Roman" w:cs="Times New Roman"/>
          <w:sz w:val="28"/>
          <w:szCs w:val="28"/>
        </w:rPr>
        <w:t>1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5A3611">
        <w:rPr>
          <w:rFonts w:ascii="Times New Roman" w:eastAsia="Calibri" w:hAnsi="Times New Roman" w:cs="Times New Roman"/>
          <w:sz w:val="28"/>
          <w:szCs w:val="28"/>
        </w:rPr>
        <w:t>2</w:t>
      </w:r>
      <w:r w:rsidR="00E05640">
        <w:rPr>
          <w:rFonts w:ascii="Times New Roman" w:eastAsia="Calibri" w:hAnsi="Times New Roman" w:cs="Times New Roman"/>
          <w:sz w:val="28"/>
          <w:szCs w:val="28"/>
        </w:rPr>
        <w:t>2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640">
        <w:rPr>
          <w:rFonts w:ascii="Times New Roman" w:eastAsia="Calibri" w:hAnsi="Times New Roman" w:cs="Times New Roman"/>
          <w:sz w:val="28"/>
          <w:szCs w:val="28"/>
        </w:rPr>
        <w:t>3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75B4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6E463C">
        <w:tc>
          <w:tcPr>
            <w:tcW w:w="675" w:type="dxa"/>
            <w:vAlign w:val="center"/>
          </w:tcPr>
          <w:p w:rsidR="00981374" w:rsidRPr="00FA6CA8" w:rsidRDefault="00981374" w:rsidP="006E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81374" w:rsidRPr="00FA6CA8" w:rsidRDefault="00981374" w:rsidP="006E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981374" w:rsidRPr="00FA6CA8" w:rsidRDefault="00981374" w:rsidP="006E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  <w:vAlign w:val="center"/>
          </w:tcPr>
          <w:p w:rsidR="00981374" w:rsidRPr="00FA6CA8" w:rsidRDefault="00981374" w:rsidP="006E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</w:t>
            </w:r>
            <w:bookmarkStart w:id="0" w:name="_GoBack"/>
            <w:bookmarkEnd w:id="0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аты экспертно-аналитического мероприятия</w:t>
            </w:r>
          </w:p>
        </w:tc>
        <w:tc>
          <w:tcPr>
            <w:tcW w:w="2977" w:type="dxa"/>
            <w:vAlign w:val="center"/>
          </w:tcPr>
          <w:p w:rsidR="00981374" w:rsidRPr="00FA6CA8" w:rsidRDefault="00981374" w:rsidP="006E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FA6CA8" w:rsidTr="005A3611">
        <w:tc>
          <w:tcPr>
            <w:tcW w:w="675" w:type="dxa"/>
          </w:tcPr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0C95" w:rsidRPr="00E60C95" w:rsidRDefault="00743AA4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E60C95"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</w:p>
          <w:p w:rsidR="00E60C95" w:rsidRPr="00E60C95" w:rsidRDefault="00E60C95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981374" w:rsidRPr="00FA6CA8" w:rsidRDefault="00E60C95" w:rsidP="00E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1984" w:type="dxa"/>
          </w:tcPr>
          <w:p w:rsidR="00175B40" w:rsidRDefault="005A3611" w:rsidP="001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3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="00E60C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17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            20</w:t>
            </w:r>
            <w:r w:rsidR="00E60C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1374" w:rsidRPr="00FA6CA8" w:rsidRDefault="0098137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0C95" w:rsidRPr="003F5011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11">
              <w:rPr>
                <w:rFonts w:ascii="Times New Roman" w:hAnsi="Times New Roman" w:cs="Times New Roman"/>
                <w:sz w:val="24"/>
                <w:szCs w:val="24"/>
              </w:rPr>
              <w:t>Проект и разработанные одновременно с ним документы и материалы внесены на рассмотрение Совета депутатов Одинцовского городского округа 29.10.2020 в сроки, установленные п. 1 ст.185 Бюджетного кодекса Российской Федерации и ст.20 Положения о бюджетном процессе в Одинцовском городском округе (не позднее 15 ноября текущего финансового года).</w:t>
            </w:r>
          </w:p>
          <w:p w:rsidR="003F5011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размещен 03.11.2020 на официальном сайте Администрации Одинцовского городского округа Московской области (https://odin.ru/doc/?div_id=2836), что соответствует требованиям ст.36 Бюджетного кодекса Российской Федерации и п.5 Постановления Главы Одинцовского городского округа Московской области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публичных слушаний по вопросу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2021 год и плановый период 2022 и</w:t>
            </w:r>
            <w:proofErr w:type="gramEnd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 2023 годов» от 02.10.2020 № 109-пГл.</w:t>
            </w:r>
          </w:p>
          <w:p w:rsidR="003F5011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11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и материалов, представленных одновременно с проектом бюджета, соответствует требованиям ст.184.2. Бюджетного кодекса Российской Федерации и п.2. ст.20 Положения о бюджетном процессе в Одинцовском городском </w:t>
            </w:r>
            <w:r w:rsidRPr="003F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округе.</w:t>
            </w:r>
          </w:p>
          <w:p w:rsidR="00E60C95" w:rsidRPr="003F5011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11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показателей, представляемых для утверждения в проекте бюджета, соответствует требованиям ст.184.1. Бюджетного кодекса Российской Федерации и ст.19 Положения о бюджетном процессе в Одинцовском городском округе. </w:t>
            </w:r>
          </w:p>
          <w:p w:rsidR="00E60C95" w:rsidRPr="00E60C95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бюджета составлен сроком на три года – очередной финансовый год (2021 год) и плановый период (2022-2023 годы), что соответствует п.4 ст.169 Бюджетного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Федерации,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Одинцовского городского округа от 30.08.2019 № 471 «О порядке составления проекта бюджета Одинцовского городского округа Московской области на трехлетний период»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от 02.09.2020 № 2195). </w:t>
            </w:r>
            <w:proofErr w:type="gramEnd"/>
          </w:p>
          <w:p w:rsidR="00E60C95" w:rsidRPr="00E60C95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Предусмотренный в проекте бюджета объем резервного фонда на 2021 год и плановый период 2022 и 2023 годы не противоречит требованиям ст.81 Бюджетного кодекса Российской Федерации.</w:t>
            </w:r>
          </w:p>
          <w:p w:rsidR="00E60C95" w:rsidRPr="00E60C95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Одинцовского городского округа Московской области разработан на трехлетний период, что соответствует требованиям ст.173 Бюджетного кодекса Российской Федерации, ст.13 Положения о бюджетном процессе в Одинцовском городском округе.</w:t>
            </w:r>
          </w:p>
          <w:p w:rsidR="00E60C95" w:rsidRPr="00E60C95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материалов и документов к проекту бюджета представлен Реестр источников доходов. Постановлением администрации Одинцовского городского округа Московской области от 29.10.2019 № 1219 принят Порядок формирования и ведения </w:t>
            </w:r>
            <w:proofErr w:type="gramStart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источников доходов бюджета Одинцовского городского округа Московской</w:t>
            </w:r>
            <w:proofErr w:type="gramEnd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что соответствует требованиям ст. 47.1 Бюджетного кодекса Российской Федерации.</w:t>
            </w:r>
          </w:p>
          <w:p w:rsidR="00E60C95" w:rsidRPr="00E60C95" w:rsidRDefault="00E60C95" w:rsidP="003F5011">
            <w:pPr>
              <w:pStyle w:val="a4"/>
              <w:numPr>
                <w:ilvl w:val="0"/>
                <w:numId w:val="40"/>
              </w:numPr>
              <w:tabs>
                <w:tab w:val="left" w:pos="240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Пунктом 4 проекта бюджета предлагается утвердить доходы бюджета Одинцовского городского округа на 2021 год (Приложение № 1 к проекту бюджета), доходы бюджета Одинцовского городского округа на плановый период 2022 и 2023 годов (Приложение № 2 к проекту бюджета), перечень главных администраторов доходов бюджета Одинцовского городского округа (Приложение № 3 к проекту бюджета), что соответствует требованиям ст.184.1 Бюджетного кодекса Российской Федерации и ст</w:t>
            </w:r>
            <w:proofErr w:type="gramEnd"/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.19 Положения о бюджетном процессе в Одинцовском городском округе.</w:t>
            </w:r>
          </w:p>
          <w:p w:rsidR="00E60C95" w:rsidRPr="00696F8D" w:rsidRDefault="00696F8D" w:rsidP="00696F8D">
            <w:pPr>
              <w:tabs>
                <w:tab w:val="left" w:pos="-108"/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К основным характеристикам проекта бюджета Одинцовского городского округа, в соответствии со ст. 184.1 Бюджетного Кодекса Российской Федерации относятся: общий объем доходов, общий объем расходов, дефицит бюджета. Бюджет Одинцовского городского округа предлагается принять со следующими показателями: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1) Общий объем плановых назначений на 2021 год: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- доходной части бюджета в размере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20 943 773,670 тыс. руб., в том числе объем межбюджетных трансфертов, получаемых из других бюджетов бюджетной системы РФ, в сумме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 9 255 348,670 тыс. руб.;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- расходной части бюджета в размере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22 112 306,132 тыс. руб.;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дефицита бюджета в размере 1 168 532,462 тыс. руб.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2) Общий объем плановых назначений на 2022 год: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доходной части бюджета в размере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24 132 966,080 тыс. руб., в том числе объем межбюджетных трансфертов, получаемых из других бюджетов бюджетной системы РФ, в сумме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11 799 060,080 тыс. руб.; 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- расходной части бюджета в размере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24 581 966,080  тыс. руб., в том числе условно утвержденные расходы в сумме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320 361,266 тыс. руб.; 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дефицит бюджета в размере 449 000,000 тыс. руб.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3) Общий объем плановых назначений на 2023 год: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доходной части бюджета в размере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 23 553 745,360 тыс. руб., в том числе объем межбюджетных трансфертов, получаемых из других бюджетов бюджетной системы РФ, в сумме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 10 574 295,360 тыс. руб.;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- расходной части бюджета в размере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23 691 745,360  тыс. руб., в том числе условно утвержденные расходы в сумме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656 669,869 тыс. руб.;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дефицит бюджета в размере 138 000,000 тыс. руб.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основных параметров бюджета Одинцовского городского округа на 2021-2023 годы характеризуется увеличением доходов в 2021 году на 0,25% по отношению к ожидаемому исполнению бюджета 2020 года,  в 2022 году на 15,51% по отношению к ожидаемому исполнению бюджета 2020 года, в 2023 году на 12,74% по отношению к ожидаемому исполнению бюджета 2020 года.    </w:t>
            </w:r>
            <w:proofErr w:type="gramEnd"/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представленному проекту бюджета общий объём расходов бюджета Одинцовского городского округа запланирован в 2021 году с уменьшением общего объёма расходов по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ожидаемому исполнению бюджета 2020 года на 4,25 %, 2022 год – с увеличением общего объёма расходов по отношению к ожидаемому исполнению 2020 года на 5,06%, на 2023 год – с уменьшением общего объёма расходов по отношению к ожидаемому исполнению 2020</w:t>
            </w:r>
            <w:proofErr w:type="gramEnd"/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 года на 0,25%.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</w:t>
            </w:r>
            <w:proofErr w:type="gramStart"/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оекте бюджета составит: на 2021 год в сумме 345 25</w:t>
            </w:r>
            <w:r w:rsidR="003F5011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0,120 тыс. руб.; на 2022 год –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347 887,120 тыс. руб., на 2023 год – </w:t>
            </w:r>
            <w:r w:rsidR="003F5011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350 691,120 тыс. руб. 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Пунктом 6 проекта бюджета предлагается утвердить ведомственную структуру расходов бюджета Одинцовского городского округа (Приложение №7 и №8 к проекту бюджета), что соответствует требованиям ст.184.1 Бюджетного кодекса Российской Федерации и п.3 ст.19 Положения о бюджетном процессе в Одинцовском городском округе.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Пунктом 13 проекта бюджета предлагается утвердить объем ассигнований городского дорожного фонда  на 2021 год в сумме 946 847,463 тыс. руб., на 2022 год –  776 607,067  тыс. руб., на 2023 год – 780 466,067 тыс. руб. Объем ассигнований городского дорожного фонда  соответствует требованиям п.5 ст. 179.4. Бюджетного кодекса Российской Федерации.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Пунктом 23 проекта бюджета предлагается утвердить расходы бюджета Одинцовского городского округа на осуществление бюджетных инвестиций в объекты капитального строительства муниципальной собственности (Приложение №15 и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 к проекту бюджета), что соответствует требованиям ст.79.1 Бюджетного кодекса Российской Федерации.</w:t>
            </w:r>
          </w:p>
          <w:p w:rsidR="003F5011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Пунктом 24 проекта бюджета предлагается утвердить объем резервного фонда на 2021 год и плановый период 2022 и 2023 годов в сумме                            25 000,000 тыс. руб. ежегодно, что соответствует требованиям ст.81 Бюджетного кодекса Российской Федерации</w:t>
            </w:r>
          </w:p>
          <w:p w:rsidR="00E60C95" w:rsidRPr="00696F8D" w:rsidRDefault="00696F8D" w:rsidP="00696F8D">
            <w:pPr>
              <w:tabs>
                <w:tab w:val="left" w:pos="-108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округа сформирован в структуре муниципальных программ, предусмотренных к финансированию за счет средств бюджета Одинцовского городского округа в 2021 – 2023 годах. 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Программная составляющая проекта бюджета на 2021 год и плановый период 2022 и 2023 годов представлена распределением расходов по 18 муниципальным программам и непрограммным  расходам.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18 муниципальных программ составляют: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на 2021 год в сумме 21 638 214,247 тыс. руб. или 97,86 % от общего объема расходов бюджета;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- на 2022 год в сумме 24 147 412,928 тыс. руб. или 99,53 % от общего объема расходов бюджета; 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- на 2023 годов в сумме 22 920 883,605 тыс. руб. или 99,50 % от общего объема расходов бюджета.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В проекте бюджета непрограммные расходы на 2021 год запланированы в сумме 474 091,886 тыс. руб., на 2022 год –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114 191,886 тыс. руб., 2023 год – </w:t>
            </w:r>
            <w:r w:rsidR="003F5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 xml:space="preserve">114 191,886 тыс. руб. </w:t>
            </w:r>
          </w:p>
          <w:p w:rsidR="00E60C95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финансирование социально-культурной сферы планируется в сумме </w:t>
            </w:r>
            <w:r w:rsidR="003F5011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13 033 626,923  тыс. руб., или 58,94 % от общей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расходов бюджета, в 2022 году – </w:t>
            </w:r>
            <w:r w:rsidR="003F5011" w:rsidRPr="00696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16 247 165,975 тыс. руб., или 66,97 % от общей суммы расходов бюджета, на 2023 год – в сумме                               16 827 434,284 тыс. руб. (73,05%).</w:t>
            </w:r>
          </w:p>
          <w:p w:rsidR="00E60C95" w:rsidRPr="00E60C95" w:rsidRDefault="00E60C95" w:rsidP="00E60C95">
            <w:pPr>
              <w:tabs>
                <w:tab w:val="left" w:pos="240"/>
                <w:tab w:val="left" w:pos="1134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95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бюджета социально ориентирован и по своим характеристикам соответствует целям и задачам, предусмотренным основными направлениями бюджетной, налоговой и долговой политики Одинцовского городского округа.</w:t>
            </w:r>
          </w:p>
          <w:p w:rsidR="00F57594" w:rsidRPr="00696F8D" w:rsidRDefault="00696F8D" w:rsidP="00696F8D">
            <w:pPr>
              <w:tabs>
                <w:tab w:val="left" w:pos="-108"/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60C95" w:rsidRPr="00696F8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предлагает рассмотреть проект решения «О бюджете Одинцовского городского округа Московской области на 2021 год и плановый период 2022 и 2023 годов», с учетом изложенного в настоящем заключении,  на Совете депутатов Одинцовского городского округа Московской области.</w:t>
            </w:r>
          </w:p>
        </w:tc>
        <w:tc>
          <w:tcPr>
            <w:tcW w:w="2977" w:type="dxa"/>
          </w:tcPr>
          <w:p w:rsidR="00981374" w:rsidRPr="00FA6CA8" w:rsidRDefault="00E57CC4" w:rsidP="005A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98B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6C0C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90"/>
    <w:multiLevelType w:val="hybridMultilevel"/>
    <w:tmpl w:val="0FC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A35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056"/>
    <w:multiLevelType w:val="hybridMultilevel"/>
    <w:tmpl w:val="3DAEA826"/>
    <w:lvl w:ilvl="0" w:tplc="D4184D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834AB1"/>
    <w:multiLevelType w:val="hybridMultilevel"/>
    <w:tmpl w:val="DAA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2F9E"/>
    <w:multiLevelType w:val="hybridMultilevel"/>
    <w:tmpl w:val="A4E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155ED"/>
    <w:multiLevelType w:val="hybridMultilevel"/>
    <w:tmpl w:val="3BEC374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2C44"/>
    <w:multiLevelType w:val="hybridMultilevel"/>
    <w:tmpl w:val="B35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0BB"/>
    <w:multiLevelType w:val="hybridMultilevel"/>
    <w:tmpl w:val="0008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140660"/>
    <w:multiLevelType w:val="hybridMultilevel"/>
    <w:tmpl w:val="34005E14"/>
    <w:lvl w:ilvl="0" w:tplc="C90A1C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EAB4E01"/>
    <w:multiLevelType w:val="hybridMultilevel"/>
    <w:tmpl w:val="027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5FAC"/>
    <w:multiLevelType w:val="hybridMultilevel"/>
    <w:tmpl w:val="E75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51F"/>
    <w:multiLevelType w:val="hybridMultilevel"/>
    <w:tmpl w:val="F6F4A8B6"/>
    <w:lvl w:ilvl="0" w:tplc="85BC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B555AE"/>
    <w:multiLevelType w:val="hybridMultilevel"/>
    <w:tmpl w:val="58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C68"/>
    <w:multiLevelType w:val="hybridMultilevel"/>
    <w:tmpl w:val="31C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63730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2036"/>
    <w:multiLevelType w:val="hybridMultilevel"/>
    <w:tmpl w:val="6010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6511"/>
    <w:multiLevelType w:val="hybridMultilevel"/>
    <w:tmpl w:val="E6FCCF0C"/>
    <w:lvl w:ilvl="0" w:tplc="116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3187E86"/>
    <w:multiLevelType w:val="hybridMultilevel"/>
    <w:tmpl w:val="B854284A"/>
    <w:lvl w:ilvl="0" w:tplc="D2E8C9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69E20F9"/>
    <w:multiLevelType w:val="hybridMultilevel"/>
    <w:tmpl w:val="CDD8661A"/>
    <w:lvl w:ilvl="0" w:tplc="264EC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85A2AB6"/>
    <w:multiLevelType w:val="hybridMultilevel"/>
    <w:tmpl w:val="CE842E30"/>
    <w:lvl w:ilvl="0" w:tplc="520C0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21A74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90F49"/>
    <w:multiLevelType w:val="hybridMultilevel"/>
    <w:tmpl w:val="A25C41C0"/>
    <w:lvl w:ilvl="0" w:tplc="A2A2C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335DFB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24B5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F0267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70529"/>
    <w:multiLevelType w:val="hybridMultilevel"/>
    <w:tmpl w:val="9DC88E06"/>
    <w:lvl w:ilvl="0" w:tplc="D4184D7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6619172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D0EC1"/>
    <w:multiLevelType w:val="hybridMultilevel"/>
    <w:tmpl w:val="7B6ECE3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C4711"/>
    <w:multiLevelType w:val="hybridMultilevel"/>
    <w:tmpl w:val="EC425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00910"/>
    <w:multiLevelType w:val="hybridMultilevel"/>
    <w:tmpl w:val="AE7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B0FAE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C188D"/>
    <w:multiLevelType w:val="hybridMultilevel"/>
    <w:tmpl w:val="F1805E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DE981EDA">
      <w:numFmt w:val="bullet"/>
      <w:lvlText w:val="•"/>
      <w:lvlJc w:val="left"/>
      <w:pPr>
        <w:ind w:left="3357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7B4563BE"/>
    <w:multiLevelType w:val="hybridMultilevel"/>
    <w:tmpl w:val="3C5AD1E4"/>
    <w:lvl w:ilvl="0" w:tplc="D7F2EFB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521E6A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5157"/>
    <w:multiLevelType w:val="hybridMultilevel"/>
    <w:tmpl w:val="55FC2C5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C7766"/>
    <w:multiLevelType w:val="hybridMultilevel"/>
    <w:tmpl w:val="83B42B16"/>
    <w:lvl w:ilvl="0" w:tplc="D0002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8D4B67"/>
    <w:multiLevelType w:val="hybridMultilevel"/>
    <w:tmpl w:val="C2FA7E16"/>
    <w:lvl w:ilvl="0" w:tplc="E446CE0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"/>
  </w:num>
  <w:num w:numId="5">
    <w:abstractNumId w:val="6"/>
  </w:num>
  <w:num w:numId="6">
    <w:abstractNumId w:val="37"/>
  </w:num>
  <w:num w:numId="7">
    <w:abstractNumId w:val="5"/>
  </w:num>
  <w:num w:numId="8">
    <w:abstractNumId w:val="27"/>
  </w:num>
  <w:num w:numId="9">
    <w:abstractNumId w:val="36"/>
  </w:num>
  <w:num w:numId="10">
    <w:abstractNumId w:val="30"/>
  </w:num>
  <w:num w:numId="11">
    <w:abstractNumId w:val="20"/>
  </w:num>
  <w:num w:numId="12">
    <w:abstractNumId w:val="1"/>
  </w:num>
  <w:num w:numId="13">
    <w:abstractNumId w:val="33"/>
  </w:num>
  <w:num w:numId="14">
    <w:abstractNumId w:val="11"/>
  </w:num>
  <w:num w:numId="15">
    <w:abstractNumId w:val="21"/>
  </w:num>
  <w:num w:numId="16">
    <w:abstractNumId w:val="0"/>
  </w:num>
  <w:num w:numId="17">
    <w:abstractNumId w:val="22"/>
  </w:num>
  <w:num w:numId="18">
    <w:abstractNumId w:val="17"/>
  </w:num>
  <w:num w:numId="19">
    <w:abstractNumId w:val="25"/>
  </w:num>
  <w:num w:numId="20">
    <w:abstractNumId w:val="16"/>
  </w:num>
  <w:num w:numId="21">
    <w:abstractNumId w:val="8"/>
  </w:num>
  <w:num w:numId="22">
    <w:abstractNumId w:val="12"/>
  </w:num>
  <w:num w:numId="23">
    <w:abstractNumId w:val="15"/>
  </w:num>
  <w:num w:numId="24">
    <w:abstractNumId w:val="32"/>
  </w:num>
  <w:num w:numId="25">
    <w:abstractNumId w:val="19"/>
  </w:num>
  <w:num w:numId="26">
    <w:abstractNumId w:val="10"/>
  </w:num>
  <w:num w:numId="27">
    <w:abstractNumId w:val="2"/>
  </w:num>
  <w:num w:numId="28">
    <w:abstractNumId w:val="7"/>
  </w:num>
  <w:num w:numId="29">
    <w:abstractNumId w:val="38"/>
  </w:num>
  <w:num w:numId="30">
    <w:abstractNumId w:val="28"/>
  </w:num>
  <w:num w:numId="31">
    <w:abstractNumId w:val="24"/>
  </w:num>
  <w:num w:numId="32">
    <w:abstractNumId w:val="14"/>
  </w:num>
  <w:num w:numId="33">
    <w:abstractNumId w:val="13"/>
  </w:num>
  <w:num w:numId="34">
    <w:abstractNumId w:val="31"/>
  </w:num>
  <w:num w:numId="35">
    <w:abstractNumId w:val="35"/>
  </w:num>
  <w:num w:numId="36">
    <w:abstractNumId w:val="4"/>
  </w:num>
  <w:num w:numId="37">
    <w:abstractNumId w:val="9"/>
  </w:num>
  <w:num w:numId="38">
    <w:abstractNumId w:val="34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1110"/>
    <w:rsid w:val="00053D73"/>
    <w:rsid w:val="00057D57"/>
    <w:rsid w:val="0006558E"/>
    <w:rsid w:val="00067CCC"/>
    <w:rsid w:val="000D1DAD"/>
    <w:rsid w:val="00100949"/>
    <w:rsid w:val="001561F5"/>
    <w:rsid w:val="00165502"/>
    <w:rsid w:val="00170A59"/>
    <w:rsid w:val="00175B40"/>
    <w:rsid w:val="0017727F"/>
    <w:rsid w:val="001A36F4"/>
    <w:rsid w:val="00391355"/>
    <w:rsid w:val="003A6179"/>
    <w:rsid w:val="003D615D"/>
    <w:rsid w:val="003F5011"/>
    <w:rsid w:val="004015B0"/>
    <w:rsid w:val="00443D75"/>
    <w:rsid w:val="004523B9"/>
    <w:rsid w:val="00463CE9"/>
    <w:rsid w:val="004C5B8D"/>
    <w:rsid w:val="005A3611"/>
    <w:rsid w:val="005B6937"/>
    <w:rsid w:val="005C68B1"/>
    <w:rsid w:val="005E7B4B"/>
    <w:rsid w:val="00604505"/>
    <w:rsid w:val="00696F8D"/>
    <w:rsid w:val="006E1B7E"/>
    <w:rsid w:val="006E463C"/>
    <w:rsid w:val="006F5242"/>
    <w:rsid w:val="00721761"/>
    <w:rsid w:val="00743AA4"/>
    <w:rsid w:val="00751BA6"/>
    <w:rsid w:val="007876B4"/>
    <w:rsid w:val="007C14D3"/>
    <w:rsid w:val="007E3831"/>
    <w:rsid w:val="0084651A"/>
    <w:rsid w:val="00871661"/>
    <w:rsid w:val="00912FD2"/>
    <w:rsid w:val="00981374"/>
    <w:rsid w:val="00982B90"/>
    <w:rsid w:val="009840CE"/>
    <w:rsid w:val="009C6562"/>
    <w:rsid w:val="009F29D8"/>
    <w:rsid w:val="00A3562A"/>
    <w:rsid w:val="00A47FEB"/>
    <w:rsid w:val="00A943E5"/>
    <w:rsid w:val="00AB3D50"/>
    <w:rsid w:val="00B4335F"/>
    <w:rsid w:val="00B6325F"/>
    <w:rsid w:val="00B65150"/>
    <w:rsid w:val="00BF3814"/>
    <w:rsid w:val="00C50CFD"/>
    <w:rsid w:val="00C63386"/>
    <w:rsid w:val="00C63AD7"/>
    <w:rsid w:val="00C76647"/>
    <w:rsid w:val="00C81276"/>
    <w:rsid w:val="00CE7812"/>
    <w:rsid w:val="00CF6018"/>
    <w:rsid w:val="00D13CEC"/>
    <w:rsid w:val="00D603B5"/>
    <w:rsid w:val="00D81B13"/>
    <w:rsid w:val="00E05640"/>
    <w:rsid w:val="00E57CC4"/>
    <w:rsid w:val="00E60C95"/>
    <w:rsid w:val="00E9458E"/>
    <w:rsid w:val="00EA1767"/>
    <w:rsid w:val="00EC2AA0"/>
    <w:rsid w:val="00F5688F"/>
    <w:rsid w:val="00F57594"/>
    <w:rsid w:val="00F81C42"/>
    <w:rsid w:val="00F861F2"/>
    <w:rsid w:val="00FA4296"/>
    <w:rsid w:val="00FB57BF"/>
    <w:rsid w:val="00FD5D55"/>
    <w:rsid w:val="00FE319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character" w:styleId="a5">
    <w:name w:val="Hyperlink"/>
    <w:uiPriority w:val="99"/>
    <w:semiHidden/>
    <w:unhideWhenUsed/>
    <w:rsid w:val="0074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60</cp:revision>
  <dcterms:created xsi:type="dcterms:W3CDTF">2017-10-31T09:29:00Z</dcterms:created>
  <dcterms:modified xsi:type="dcterms:W3CDTF">2021-04-26T14:44:00Z</dcterms:modified>
</cp:coreProperties>
</file>