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AB" w:rsidRDefault="008811AB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E01" w:rsidRDefault="0073353E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547E8">
        <w:rPr>
          <w:rFonts w:ascii="Times New Roman" w:hAnsi="Times New Roman" w:cs="Times New Roman"/>
          <w:sz w:val="28"/>
          <w:szCs w:val="28"/>
        </w:rPr>
        <w:t xml:space="preserve">внешних проверок </w:t>
      </w:r>
      <w:r w:rsidR="00A34E01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главных администраторов </w:t>
      </w:r>
    </w:p>
    <w:p w:rsidR="00842CCE" w:rsidRDefault="00A34E01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547E8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842C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547E8">
        <w:rPr>
          <w:rFonts w:ascii="Times New Roman" w:hAnsi="Times New Roman" w:cs="Times New Roman"/>
          <w:sz w:val="28"/>
          <w:szCs w:val="28"/>
        </w:rPr>
        <w:t xml:space="preserve"> за 20</w:t>
      </w:r>
      <w:r w:rsidR="0034404A">
        <w:rPr>
          <w:rFonts w:ascii="Times New Roman" w:hAnsi="Times New Roman" w:cs="Times New Roman"/>
          <w:sz w:val="28"/>
          <w:szCs w:val="28"/>
        </w:rPr>
        <w:t>20</w:t>
      </w:r>
      <w:r w:rsidR="006547E8">
        <w:rPr>
          <w:rFonts w:ascii="Times New Roman" w:hAnsi="Times New Roman" w:cs="Times New Roman"/>
          <w:sz w:val="28"/>
          <w:szCs w:val="28"/>
        </w:rPr>
        <w:t xml:space="preserve"> год</w:t>
      </w:r>
      <w:r w:rsidR="00FD77BB">
        <w:rPr>
          <w:rFonts w:ascii="Times New Roman" w:hAnsi="Times New Roman" w:cs="Times New Roman"/>
          <w:sz w:val="28"/>
          <w:szCs w:val="28"/>
        </w:rPr>
        <w:t>, проведенных в</w:t>
      </w:r>
      <w:r w:rsidR="00BA1619">
        <w:rPr>
          <w:rFonts w:ascii="Times New Roman" w:hAnsi="Times New Roman" w:cs="Times New Roman"/>
          <w:sz w:val="28"/>
          <w:szCs w:val="28"/>
        </w:rPr>
        <w:t>о</w:t>
      </w:r>
      <w:r w:rsidR="00FD77BB">
        <w:rPr>
          <w:rFonts w:ascii="Times New Roman" w:hAnsi="Times New Roman" w:cs="Times New Roman"/>
          <w:sz w:val="28"/>
          <w:szCs w:val="28"/>
        </w:rPr>
        <w:t xml:space="preserve"> </w:t>
      </w:r>
      <w:r w:rsidR="00BA1619">
        <w:rPr>
          <w:rFonts w:ascii="Times New Roman" w:hAnsi="Times New Roman" w:cs="Times New Roman"/>
          <w:sz w:val="28"/>
          <w:szCs w:val="28"/>
        </w:rPr>
        <w:t>2</w:t>
      </w:r>
      <w:r w:rsidR="00FD77BB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5620B">
        <w:rPr>
          <w:rFonts w:ascii="Times New Roman" w:hAnsi="Times New Roman" w:cs="Times New Roman"/>
          <w:sz w:val="28"/>
          <w:szCs w:val="28"/>
        </w:rPr>
        <w:t>2</w:t>
      </w:r>
      <w:r w:rsidR="0034404A">
        <w:rPr>
          <w:rFonts w:ascii="Times New Roman" w:hAnsi="Times New Roman" w:cs="Times New Roman"/>
          <w:sz w:val="28"/>
          <w:szCs w:val="28"/>
        </w:rPr>
        <w:t>1</w:t>
      </w:r>
      <w:r w:rsidR="00FD77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3E" w:rsidRPr="0073353E" w:rsidRDefault="00DE2D41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(контрольные мероприятия)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4"/>
        <w:gridCol w:w="5671"/>
        <w:gridCol w:w="2126"/>
        <w:gridCol w:w="1843"/>
      </w:tblGrid>
      <w:tr w:rsidR="006547E8" w:rsidRPr="00FA6CA8" w:rsidTr="00B34368">
        <w:tc>
          <w:tcPr>
            <w:tcW w:w="817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547E8" w:rsidRPr="00FA6CA8" w:rsidRDefault="006547E8" w:rsidP="0084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2CCE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984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671" w:type="dxa"/>
          </w:tcPr>
          <w:p w:rsidR="006547E8" w:rsidRPr="00FA6CA8" w:rsidRDefault="006547E8" w:rsidP="0088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 w:rsidR="008811AB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</w:tcPr>
          <w:p w:rsidR="006547E8" w:rsidRPr="00FA6CA8" w:rsidRDefault="006547E8" w:rsidP="0084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</w:t>
            </w:r>
            <w:r w:rsidR="00CF0812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, отчеты, представления/предписания) по результатам </w:t>
            </w:r>
            <w:r w:rsidR="00842CCE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843" w:type="dxa"/>
          </w:tcPr>
          <w:p w:rsidR="006547E8" w:rsidRPr="00FA6CA8" w:rsidRDefault="006547E8" w:rsidP="0084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нарушений по результатам </w:t>
            </w:r>
            <w:r w:rsidR="00842C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="00CF0812" w:rsidRPr="00CF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A53DA" w:rsidRPr="00B34368" w:rsidTr="00B34368">
        <w:tc>
          <w:tcPr>
            <w:tcW w:w="817" w:type="dxa"/>
          </w:tcPr>
          <w:p w:rsidR="005A53DA" w:rsidRPr="008662E0" w:rsidRDefault="00BA161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53DA" w:rsidRPr="008662E0" w:rsidRDefault="00B24E25" w:rsidP="009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0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годовой бюджетной отчетности Комитета по управлению муниципальным имуществом Администрации Одинцовского городского округа за 20</w:t>
            </w:r>
            <w:r w:rsidR="009F68BD" w:rsidRPr="008662E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66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5A53DA" w:rsidRPr="008662E0" w:rsidRDefault="00B24E25" w:rsidP="009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F68BD" w:rsidRPr="008662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662E0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округа на 202</w:t>
            </w:r>
            <w:r w:rsidR="009F68BD" w:rsidRPr="0086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2E0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утвержденного распоряжением Контрольно-счетной палаты Одинцовского городского округа от </w:t>
            </w:r>
            <w:r w:rsidR="009F68BD" w:rsidRPr="008662E0">
              <w:rPr>
                <w:rFonts w:ascii="Times New Roman" w:hAnsi="Times New Roman" w:cs="Times New Roman"/>
                <w:sz w:val="24"/>
                <w:szCs w:val="24"/>
              </w:rPr>
              <w:t>29.12.2020 № 222 (с изменениями и дополнениями)</w:t>
            </w:r>
          </w:p>
        </w:tc>
        <w:tc>
          <w:tcPr>
            <w:tcW w:w="5671" w:type="dxa"/>
          </w:tcPr>
          <w:p w:rsidR="009F68BD" w:rsidRPr="008811AB" w:rsidRDefault="009F68BD" w:rsidP="008811AB">
            <w:pPr>
              <w:pStyle w:val="a5"/>
              <w:numPr>
                <w:ilvl w:val="0"/>
                <w:numId w:val="38"/>
              </w:numPr>
              <w:tabs>
                <w:tab w:val="left" w:pos="23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1AB">
              <w:rPr>
                <w:rFonts w:ascii="Times New Roman" w:hAnsi="Times New Roman"/>
                <w:sz w:val="24"/>
                <w:szCs w:val="24"/>
              </w:rPr>
              <w:t xml:space="preserve">Годовая бюджетная отчетность об исполнении бюджета КУМИ за 2020 год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о порядке составления и представления отчётности № 191н). </w:t>
            </w:r>
            <w:proofErr w:type="gramEnd"/>
          </w:p>
          <w:p w:rsidR="008811AB" w:rsidRPr="008811AB" w:rsidRDefault="008811AB" w:rsidP="008811AB">
            <w:pPr>
              <w:pStyle w:val="a5"/>
              <w:numPr>
                <w:ilvl w:val="0"/>
                <w:numId w:val="38"/>
              </w:numPr>
              <w:tabs>
                <w:tab w:val="left" w:pos="23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1AB">
              <w:rPr>
                <w:rFonts w:ascii="Times New Roman" w:hAnsi="Times New Roman"/>
                <w:sz w:val="24"/>
                <w:szCs w:val="24"/>
              </w:rPr>
              <w:t xml:space="preserve">В нарушение п.21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приказом Минфина России от 01.12.2010 № 157н (далее – Инструкция № </w:t>
            </w:r>
            <w:r w:rsidRPr="008811AB">
              <w:rPr>
                <w:rFonts w:ascii="Times New Roman" w:hAnsi="Times New Roman"/>
                <w:sz w:val="24"/>
                <w:szCs w:val="24"/>
              </w:rPr>
              <w:lastRenderedPageBreak/>
              <w:t>157н) Рабочий план счетов бухгалтерского учета КУМИ утвержден без учета кода классификации доходов бюджетов, расходов бюджетов, кодов</w:t>
            </w:r>
            <w:proofErr w:type="gramEnd"/>
            <w:r w:rsidRPr="008811AB">
              <w:rPr>
                <w:rFonts w:ascii="Times New Roman" w:hAnsi="Times New Roman"/>
                <w:sz w:val="24"/>
                <w:szCs w:val="24"/>
              </w:rPr>
              <w:t xml:space="preserve"> классификации операций сектора государственного управления (КОСГУ).</w:t>
            </w:r>
          </w:p>
          <w:p w:rsidR="008811AB" w:rsidRPr="008811AB" w:rsidRDefault="008811AB" w:rsidP="008811AB">
            <w:pPr>
              <w:pStyle w:val="a5"/>
              <w:numPr>
                <w:ilvl w:val="0"/>
                <w:numId w:val="38"/>
              </w:numPr>
              <w:tabs>
                <w:tab w:val="left" w:pos="23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1AB">
              <w:rPr>
                <w:rFonts w:ascii="Times New Roman" w:hAnsi="Times New Roman"/>
                <w:sz w:val="24"/>
                <w:szCs w:val="24"/>
              </w:rPr>
              <w:t>В нарушение Приказа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представленных инвентаризационных описях расчетов с покупателями, поставщиками и прочими дебиторами и кредиторами (ф. 0504089) дебиторская и кредиторская</w:t>
            </w:r>
            <w:proofErr w:type="gramEnd"/>
            <w:r w:rsidRPr="008811AB">
              <w:rPr>
                <w:rFonts w:ascii="Times New Roman" w:hAnsi="Times New Roman"/>
                <w:sz w:val="24"/>
                <w:szCs w:val="24"/>
              </w:rPr>
              <w:t xml:space="preserve"> задолженность не отражена по результатам инвентаризации как «Подтвержденная дебиторами»,  «Не подтвержденная дебиторами», «С истекшим сроком исковой давности».</w:t>
            </w:r>
          </w:p>
          <w:p w:rsidR="008811AB" w:rsidRDefault="008811AB" w:rsidP="008811AB">
            <w:pPr>
              <w:pStyle w:val="a5"/>
              <w:numPr>
                <w:ilvl w:val="0"/>
                <w:numId w:val="38"/>
              </w:numPr>
              <w:tabs>
                <w:tab w:val="left" w:pos="23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1AB">
              <w:rPr>
                <w:rFonts w:ascii="Times New Roman" w:hAnsi="Times New Roman"/>
                <w:sz w:val="24"/>
                <w:szCs w:val="24"/>
              </w:rPr>
              <w:t xml:space="preserve">В нарушение п.55 Инструкции о порядке составления и представления отчётности № 191н графа 4 «Утвержденные бюджетные назначения» раздела 1 «Доходы бюджета» Отчета об исполнении бюджета (ф. 0503127), заполнена не на основании данных, отраженных на счете 150400000 "Сметные (плановые, прогнозные) назначения" регистров бухгалтерского учета. </w:t>
            </w:r>
          </w:p>
          <w:p w:rsidR="008811AB" w:rsidRPr="008811AB" w:rsidRDefault="008811AB" w:rsidP="008811AB">
            <w:pPr>
              <w:pStyle w:val="a5"/>
              <w:numPr>
                <w:ilvl w:val="0"/>
                <w:numId w:val="38"/>
              </w:numPr>
              <w:tabs>
                <w:tab w:val="left" w:pos="23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1AB">
              <w:rPr>
                <w:rFonts w:ascii="Times New Roman" w:hAnsi="Times New Roman"/>
                <w:sz w:val="24"/>
                <w:szCs w:val="24"/>
              </w:rPr>
              <w:t>В нарушение ст.9, 10 Федерального закона от 06.12.2011 № 402-ФЗ «О бухгалтерском учете», п.324 Инструкции № 15</w:t>
            </w:r>
            <w:r w:rsidR="00EA0269">
              <w:rPr>
                <w:rFonts w:ascii="Times New Roman" w:hAnsi="Times New Roman"/>
                <w:sz w:val="24"/>
                <w:szCs w:val="24"/>
              </w:rPr>
              <w:t xml:space="preserve">7н факты хозяйственной </w:t>
            </w:r>
            <w:r w:rsidR="00EA02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</w:t>
            </w:r>
            <w:r w:rsidRPr="008811AB">
              <w:rPr>
                <w:rFonts w:ascii="Times New Roman" w:hAnsi="Times New Roman"/>
                <w:sz w:val="24"/>
                <w:szCs w:val="24"/>
              </w:rPr>
              <w:t>на счете 50400 «Сметные (плановые, прогнозные) назначения», а также  в регистрах бухгалтерского учета КУМИ не отражены.</w:t>
            </w:r>
          </w:p>
          <w:p w:rsidR="008811AB" w:rsidRPr="008811AB" w:rsidRDefault="008811AB" w:rsidP="008811AB">
            <w:pPr>
              <w:pStyle w:val="a5"/>
              <w:numPr>
                <w:ilvl w:val="0"/>
                <w:numId w:val="38"/>
              </w:numPr>
              <w:tabs>
                <w:tab w:val="left" w:pos="23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1AB">
              <w:rPr>
                <w:rFonts w:ascii="Times New Roman" w:hAnsi="Times New Roman"/>
                <w:sz w:val="24"/>
                <w:szCs w:val="24"/>
              </w:rPr>
              <w:t>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 данными Главной книги расхождений не установлено.</w:t>
            </w:r>
          </w:p>
          <w:p w:rsidR="008811AB" w:rsidRPr="008811AB" w:rsidRDefault="008811AB" w:rsidP="008811AB">
            <w:pPr>
              <w:pStyle w:val="a5"/>
              <w:numPr>
                <w:ilvl w:val="0"/>
                <w:numId w:val="38"/>
              </w:numPr>
              <w:tabs>
                <w:tab w:val="left" w:pos="23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1AB">
              <w:rPr>
                <w:rFonts w:ascii="Times New Roman" w:hAnsi="Times New Roman"/>
                <w:sz w:val="24"/>
                <w:szCs w:val="24"/>
              </w:rPr>
              <w:t>При сопоставлении данных ф.0503164 «Сведения об исполнении бюджета» с данными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      </w:r>
          </w:p>
          <w:p w:rsidR="008811AB" w:rsidRPr="008811AB" w:rsidRDefault="008811AB" w:rsidP="008811AB">
            <w:pPr>
              <w:pStyle w:val="a5"/>
              <w:numPr>
                <w:ilvl w:val="0"/>
                <w:numId w:val="38"/>
              </w:numPr>
              <w:tabs>
                <w:tab w:val="left" w:pos="23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1AB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отчета о финансовых результатах деятельности (ф.0503121) с данными Главной книги и с данными справки по заключению счетов бюджетного учета отчетного финансового года (ф.0503110) расхождений не установлено. </w:t>
            </w:r>
          </w:p>
          <w:p w:rsidR="009F68BD" w:rsidRPr="008662E0" w:rsidRDefault="00EA0269" w:rsidP="009F68B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8BD" w:rsidRPr="008662E0">
              <w:rPr>
                <w:rFonts w:ascii="Times New Roman" w:hAnsi="Times New Roman" w:cs="Times New Roman"/>
                <w:sz w:val="24"/>
                <w:szCs w:val="24"/>
              </w:rPr>
              <w:t>. В ходе проведения внешней проверки бюджетной отчетности:</w:t>
            </w:r>
          </w:p>
          <w:p w:rsidR="009F68BD" w:rsidRPr="008662E0" w:rsidRDefault="009F68BD" w:rsidP="009F68BD">
            <w:pPr>
              <w:pStyle w:val="a5"/>
              <w:numPr>
                <w:ilvl w:val="0"/>
                <w:numId w:val="1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E0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9F68BD" w:rsidRPr="008662E0" w:rsidRDefault="009F68BD" w:rsidP="009F68BD">
            <w:pPr>
              <w:pStyle w:val="a5"/>
              <w:numPr>
                <w:ilvl w:val="0"/>
                <w:numId w:val="1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E0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5A53DA" w:rsidRPr="008662E0" w:rsidRDefault="009F68BD" w:rsidP="002C56F7">
            <w:pPr>
              <w:pStyle w:val="a5"/>
              <w:numPr>
                <w:ilvl w:val="0"/>
                <w:numId w:val="1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2E0"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отчетности (достоверность </w:t>
            </w:r>
            <w:r w:rsidRPr="008662E0">
              <w:rPr>
                <w:rFonts w:ascii="Times New Roman" w:hAnsi="Times New Roman"/>
                <w:sz w:val="24"/>
                <w:szCs w:val="24"/>
              </w:rPr>
              <w:lastRenderedPageBreak/>
              <w:t>данных бухгалтерского учета по счетам                               1 205 00 000 «Расчеты по доходам» и 1 209 00 000 «Расчеты по ущербу и иным доходам» подтверждена актами сверки расчетов не в полном объеме).</w:t>
            </w:r>
          </w:p>
        </w:tc>
        <w:tc>
          <w:tcPr>
            <w:tcW w:w="2126" w:type="dxa"/>
          </w:tcPr>
          <w:p w:rsidR="005A53DA" w:rsidRPr="009F68BD" w:rsidRDefault="006473A0" w:rsidP="001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B24E25" w:rsidRPr="009F68BD">
              <w:rPr>
                <w:rFonts w:ascii="Times New Roman" w:hAnsi="Times New Roman" w:cs="Times New Roman"/>
                <w:sz w:val="24"/>
                <w:szCs w:val="24"/>
              </w:rPr>
              <w:t>, представление, отчет</w:t>
            </w:r>
            <w:r w:rsidR="00F94889" w:rsidRPr="009F68BD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письмо </w:t>
            </w:r>
          </w:p>
        </w:tc>
        <w:tc>
          <w:tcPr>
            <w:tcW w:w="1843" w:type="dxa"/>
          </w:tcPr>
          <w:p w:rsidR="005A53DA" w:rsidRPr="009F68BD" w:rsidRDefault="00B24E25" w:rsidP="005A26E1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68BD"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 w:rsidR="00682F6B" w:rsidRPr="00FA6CA8" w:rsidTr="00B34368">
        <w:tc>
          <w:tcPr>
            <w:tcW w:w="817" w:type="dxa"/>
          </w:tcPr>
          <w:p w:rsidR="00682F6B" w:rsidRDefault="00DE2D4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44176" w:rsidRPr="00244176" w:rsidRDefault="00244176" w:rsidP="0024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</w:p>
          <w:p w:rsidR="00682F6B" w:rsidRPr="00956483" w:rsidRDefault="00244176" w:rsidP="0024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682F6B" w:rsidRDefault="00244176" w:rsidP="0024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37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244176" w:rsidRPr="00757652" w:rsidRDefault="00244176" w:rsidP="00757652">
            <w:pPr>
              <w:pStyle w:val="a5"/>
              <w:numPr>
                <w:ilvl w:val="0"/>
                <w:numId w:val="20"/>
              </w:numPr>
              <w:tabs>
                <w:tab w:val="left" w:pos="318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652">
              <w:rPr>
                <w:rFonts w:ascii="Times New Roman" w:hAnsi="Times New Roman"/>
                <w:sz w:val="24"/>
                <w:szCs w:val="24"/>
              </w:rPr>
              <w:t>При проведении проверки инвентаризации, проведенной Администрацией Одинцовского городского округа установлено, что в нарушение ст.11 Федерального закона от 06.12.2011 № 402-ФЗ «О бухгалтерском учете», п.79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п.7 Инструкции о порядке составления и представления годовой, квартальной</w:t>
            </w:r>
            <w:proofErr w:type="gramEnd"/>
            <w:r w:rsidRPr="00757652">
              <w:rPr>
                <w:rFonts w:ascii="Times New Roman" w:hAnsi="Times New Roman"/>
                <w:sz w:val="24"/>
                <w:szCs w:val="24"/>
              </w:rPr>
              <w:t xml:space="preserve">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 о порядке составления и представления отчётности № 191н) в 2020 году не проведена инвентаризация непроизведенных активов.</w:t>
            </w:r>
          </w:p>
          <w:p w:rsidR="00244176" w:rsidRPr="00244176" w:rsidRDefault="00757652" w:rsidP="00757652">
            <w:pPr>
              <w:tabs>
                <w:tab w:val="left" w:pos="318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бюджетной отчетности главного администратора бюджетных средств – Администрации Одинцовского городского округа установлено следующее:</w:t>
            </w:r>
          </w:p>
          <w:p w:rsidR="00244176" w:rsidRPr="00244176" w:rsidRDefault="00244176" w:rsidP="00757652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      </w:r>
            <w:r w:rsidRPr="0024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 доходов бюджета (ф.0503130) с данными Главной книги расхождений не установлено.</w:t>
            </w:r>
          </w:p>
          <w:p w:rsidR="00244176" w:rsidRPr="00244176" w:rsidRDefault="00244176" w:rsidP="00757652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с данными Главной книги расхождений не установлено.</w:t>
            </w:r>
          </w:p>
          <w:p w:rsidR="00244176" w:rsidRPr="00244176" w:rsidRDefault="00244176" w:rsidP="00757652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ф.0503164 «Сведения об исполнении бюджета» с данными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      </w:r>
          </w:p>
          <w:p w:rsidR="00244176" w:rsidRPr="00244176" w:rsidRDefault="00244176" w:rsidP="00757652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44176">
              <w:rPr>
                <w:rFonts w:ascii="Times New Roman" w:hAnsi="Times New Roman" w:cs="Times New Roman"/>
                <w:sz w:val="24"/>
                <w:szCs w:val="24"/>
              </w:rPr>
              <w:tab/>
              <w:t>При сопоставлении данных ф.0503169 «Сведения по дебиторской и кредиторской задолженности», данных ф.0503168 «Сведения о движении нефинансовых активов» с данными баланса ф.0503130 расхождений не установлено.</w:t>
            </w:r>
          </w:p>
          <w:p w:rsidR="00244176" w:rsidRPr="00244176" w:rsidRDefault="00757652" w:rsidP="00244176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 xml:space="preserve">При сопоставлении данных ф.0503169 «Сведения по дебиторской и кредиторской задолженности» с данными Главной книги установлено, что в нарушение п.167 Инструкции о порядке составления и представления отчётности № 191н в Сведениях по дебиторской и кредиторской задолженности (ф.0503169) отражена кредиторская задолженность на конец года по строке 130228000 в сумме 1 </w:t>
            </w:r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209,293 тыс. руб., не подтвержденная данными Главной книги за</w:t>
            </w:r>
            <w:proofErr w:type="gramEnd"/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 xml:space="preserve"> 2020 год. В Главной книге счет 130228000 «Расчеты по услугам, работам для целей капитальных вложений» отсутствует, данная сумма задолженности отражена на счете 130226000.</w:t>
            </w:r>
          </w:p>
          <w:p w:rsidR="00244176" w:rsidRPr="00244176" w:rsidRDefault="00757652" w:rsidP="00244176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0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44176" w:rsidRPr="0035201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п.71 Инструкции о порядке составления и представления отчётности № 191н в гр.7 строки 700 Отчета о бюджетных обязательствах (ф.0503128) отражены данные, не подтвержденные данными Главной книги за 2020 год Администрации </w:t>
            </w:r>
            <w:r w:rsidR="00352018" w:rsidRPr="0035201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округа. </w:t>
            </w:r>
            <w:r w:rsidR="00244176" w:rsidRPr="00352018">
              <w:rPr>
                <w:rFonts w:ascii="Times New Roman" w:hAnsi="Times New Roman" w:cs="Times New Roman"/>
                <w:sz w:val="24"/>
                <w:szCs w:val="24"/>
              </w:rPr>
              <w:t>Нарушение исправлено в ходе проверки, исправленные регистры бухгалтерского учета (а именно Главная книга) представлены в Контрольно-счетную палату.</w:t>
            </w:r>
            <w:bookmarkStart w:id="0" w:name="_GoBack"/>
            <w:bookmarkEnd w:id="0"/>
          </w:p>
          <w:p w:rsidR="00244176" w:rsidRPr="00244176" w:rsidRDefault="00757652" w:rsidP="00757652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ст.9, 10 Федерального закона от 06.12.2011 № 402-ФЗ «О бухгалтерском учете», п.324 Приказа Минфина России от 01.12.2010           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 факты хозяйственной жизни</w:t>
            </w:r>
            <w:proofErr w:type="gramEnd"/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 xml:space="preserve">  - уведомление о плановых показателях по доходам на плановый период 2021 и 2022 годов соответственно на счете 50400 «Сметные (плановые, прогнозные) назначения», а также  в регистрах бухгалтерского учета Администрации Одинцовского городского округа  не отражены.</w:t>
            </w:r>
          </w:p>
          <w:p w:rsidR="00244176" w:rsidRPr="00244176" w:rsidRDefault="00757652" w:rsidP="00244176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внешней проверки бюджетной отчетности Администрации Одинцовского </w:t>
            </w:r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proofErr w:type="gramEnd"/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4176" w:rsidRPr="00757652" w:rsidRDefault="00244176" w:rsidP="00757652">
            <w:pPr>
              <w:pStyle w:val="a5"/>
              <w:numPr>
                <w:ilvl w:val="0"/>
                <w:numId w:val="21"/>
              </w:numPr>
              <w:tabs>
                <w:tab w:val="left" w:pos="460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7652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244176" w:rsidRPr="00757652" w:rsidRDefault="00244176" w:rsidP="00757652">
            <w:pPr>
              <w:pStyle w:val="a5"/>
              <w:numPr>
                <w:ilvl w:val="0"/>
                <w:numId w:val="21"/>
              </w:numPr>
              <w:tabs>
                <w:tab w:val="left" w:pos="460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7652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757652" w:rsidRDefault="00244176" w:rsidP="00757652">
            <w:pPr>
              <w:pStyle w:val="a5"/>
              <w:numPr>
                <w:ilvl w:val="0"/>
                <w:numId w:val="21"/>
              </w:numPr>
              <w:tabs>
                <w:tab w:val="left" w:pos="460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7652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 (отсутствие инвентаризации непроизведенных активов).</w:t>
            </w:r>
          </w:p>
          <w:p w:rsidR="00244176" w:rsidRPr="00757652" w:rsidRDefault="00244176" w:rsidP="00757652">
            <w:pPr>
              <w:pStyle w:val="a5"/>
              <w:numPr>
                <w:ilvl w:val="0"/>
                <w:numId w:val="22"/>
              </w:numPr>
              <w:tabs>
                <w:tab w:val="left" w:pos="460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7652">
              <w:rPr>
                <w:rFonts w:ascii="Times New Roman" w:hAnsi="Times New Roman"/>
                <w:sz w:val="24"/>
                <w:szCs w:val="24"/>
              </w:rPr>
              <w:t xml:space="preserve">По результатам внешней </w:t>
            </w:r>
            <w:proofErr w:type="gramStart"/>
            <w:r w:rsidRPr="00757652">
              <w:rPr>
                <w:rFonts w:ascii="Times New Roman" w:hAnsi="Times New Roman"/>
                <w:sz w:val="24"/>
                <w:szCs w:val="24"/>
              </w:rPr>
              <w:t>проверки бюджетной отчетности подведомственных Администрации Одинцовского городского округа муниципальных казенных учреждений</w:t>
            </w:r>
            <w:proofErr w:type="gramEnd"/>
            <w:r w:rsidRPr="007576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176" w:rsidRPr="00757652" w:rsidRDefault="00244176" w:rsidP="00757652">
            <w:pPr>
              <w:pStyle w:val="a5"/>
              <w:numPr>
                <w:ilvl w:val="0"/>
                <w:numId w:val="23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7652">
              <w:rPr>
                <w:rFonts w:ascii="Times New Roman" w:hAnsi="Times New Roman"/>
                <w:sz w:val="24"/>
                <w:szCs w:val="24"/>
              </w:rPr>
              <w:t xml:space="preserve">Выявлены факты неполноты </w:t>
            </w:r>
            <w:proofErr w:type="gramStart"/>
            <w:r w:rsidRPr="00757652">
              <w:rPr>
                <w:rFonts w:ascii="Times New Roman" w:hAnsi="Times New Roman"/>
                <w:sz w:val="24"/>
                <w:szCs w:val="24"/>
              </w:rPr>
              <w:t>бухгалтерской</w:t>
            </w:r>
            <w:proofErr w:type="gramEnd"/>
            <w:r w:rsidRPr="00757652">
              <w:rPr>
                <w:rFonts w:ascii="Times New Roman" w:hAnsi="Times New Roman"/>
                <w:sz w:val="24"/>
                <w:szCs w:val="24"/>
              </w:rPr>
              <w:t xml:space="preserve"> отчетности (отсутствует Пояснительная записка ф.0503160 (МКУ «ЦХО ОМС»)).</w:t>
            </w:r>
          </w:p>
          <w:p w:rsidR="00244176" w:rsidRPr="00757652" w:rsidRDefault="00244176" w:rsidP="00757652">
            <w:pPr>
              <w:pStyle w:val="a5"/>
              <w:numPr>
                <w:ilvl w:val="0"/>
                <w:numId w:val="23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7652">
              <w:rPr>
                <w:rFonts w:ascii="Times New Roman" w:hAnsi="Times New Roman"/>
                <w:sz w:val="24"/>
                <w:szCs w:val="24"/>
              </w:rPr>
              <w:t xml:space="preserve">Установлены факты недостоверности бюджетной отчетности, а именно: допущены искажения отдельных показателей бюджетной отчетности: Отчета о бюджетных обязательствах (ф.0503128) на 01.01.2021, Сведений о принятых и неисполненных обязательствах получателя бюджетных средств (ф.0503175) на 01.01.2021 (МКУ «ЦХО ОМС», МКУ «МФЦ»).   </w:t>
            </w:r>
          </w:p>
          <w:p w:rsidR="00244176" w:rsidRPr="00757652" w:rsidRDefault="00244176" w:rsidP="00757652">
            <w:pPr>
              <w:pStyle w:val="a5"/>
              <w:numPr>
                <w:ilvl w:val="0"/>
                <w:numId w:val="23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57652">
              <w:rPr>
                <w:rFonts w:ascii="Times New Roman" w:hAnsi="Times New Roman"/>
                <w:sz w:val="24"/>
                <w:szCs w:val="24"/>
              </w:rPr>
              <w:t>Выявлены факты, способные повлиять на достоверность отчетности (не проведена инвентаризация резервов предстоящих расходов, в состав инвентаризационной комиссии включено материально ответственное лиц, отсутствуют акты сверки с контрагентами (МКУ «ХЭС», МКУ «МФЦ», МКУ «ЦХО ОМС»)).</w:t>
            </w:r>
          </w:p>
          <w:p w:rsidR="00244176" w:rsidRPr="00244176" w:rsidRDefault="00757652" w:rsidP="00244176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Проверкой порядка составления, утверждения и ведения бюджетных </w:t>
            </w:r>
            <w:proofErr w:type="gramStart"/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 xml:space="preserve">смет казенных учреждений подведомственных Администрации Одинцовского </w:t>
            </w:r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нарушений</w:t>
            </w:r>
            <w:proofErr w:type="gramEnd"/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установлено.</w:t>
            </w:r>
          </w:p>
          <w:p w:rsidR="00244176" w:rsidRDefault="00757652" w:rsidP="00244176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44176" w:rsidRPr="00244176">
              <w:rPr>
                <w:rFonts w:ascii="Times New Roman" w:hAnsi="Times New Roman" w:cs="Times New Roman"/>
                <w:sz w:val="24"/>
                <w:szCs w:val="24"/>
              </w:rPr>
              <w:t>Проверкой порядка составления и ведения бюджетной росписи Администрацией Одинцовского городского округа на 2020 год и плановый период 2021 и 2022 годов нарушений не установлено.</w:t>
            </w:r>
          </w:p>
        </w:tc>
        <w:tc>
          <w:tcPr>
            <w:tcW w:w="2126" w:type="dxa"/>
          </w:tcPr>
          <w:p w:rsidR="00682F6B" w:rsidRPr="00CD1FF3" w:rsidRDefault="00757652" w:rsidP="00C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EE4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представления, отчет, информационные письма</w:t>
            </w:r>
          </w:p>
        </w:tc>
        <w:tc>
          <w:tcPr>
            <w:tcW w:w="1843" w:type="dxa"/>
          </w:tcPr>
          <w:p w:rsidR="00682F6B" w:rsidRPr="00CD1FF3" w:rsidRDefault="00757652" w:rsidP="007576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представлениях, исполнены полностью</w:t>
            </w:r>
          </w:p>
        </w:tc>
      </w:tr>
      <w:tr w:rsidR="00AF6C3E" w:rsidRPr="00FA6CA8" w:rsidTr="00B34368">
        <w:tc>
          <w:tcPr>
            <w:tcW w:w="817" w:type="dxa"/>
          </w:tcPr>
          <w:p w:rsidR="00AF6C3E" w:rsidRDefault="00DE2D4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338B0" w:rsidRPr="00C338B0" w:rsidRDefault="00C338B0" w:rsidP="00C3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B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</w:p>
          <w:p w:rsidR="00AF6C3E" w:rsidRPr="00956483" w:rsidRDefault="00C338B0" w:rsidP="00C3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B0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AF6C3E" w:rsidRDefault="00C338B0" w:rsidP="00C3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38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3278A5" w:rsidRPr="003278A5" w:rsidRDefault="003278A5" w:rsidP="003278A5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бюджетная отчетность Управления образования Администрации Одинцовского городского округа (далее – Управление образования) и подведомственных ему учреждений за 2020 год поступила в Контрольно-счетную палату для проведения внешней проверки в установленные сроки.</w:t>
            </w:r>
          </w:p>
          <w:p w:rsidR="003278A5" w:rsidRPr="003278A5" w:rsidRDefault="003278A5" w:rsidP="003278A5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форм бюджетной отчетности Управления образования установлено следующее:</w:t>
            </w:r>
          </w:p>
          <w:p w:rsidR="003278A5" w:rsidRPr="003278A5" w:rsidRDefault="003278A5" w:rsidP="003278A5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 xml:space="preserve">2.1. Годовая бюджетная отчетность главного распорядителя бюджетных средств за 2020 год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                      № 191н). </w:t>
            </w:r>
          </w:p>
          <w:p w:rsidR="003278A5" w:rsidRPr="003278A5" w:rsidRDefault="003278A5" w:rsidP="003278A5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 главного распорядителя бюджетных средств за 2020 год составлена в соответствии со структурой и кодами бюджетной классификации, которые применялись при утверждении решения Совета депутатов Одинцовского городского округа о бюджете на 2020 год и плановый период.</w:t>
            </w:r>
          </w:p>
          <w:p w:rsidR="003278A5" w:rsidRPr="003278A5" w:rsidRDefault="003278A5" w:rsidP="003278A5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достоверности бюджетной отчетности во </w:t>
            </w:r>
            <w:r w:rsidRPr="0032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существенных отношениях проводилась на выборочной основе и включала в себя изучение документов, подтверждающих исполнение решения о бюджете Одинцовского городского округа на отчетный финансовый год и показателей, характеризующих его исполнение, а также оценку регистров синтетического учета. </w:t>
            </w:r>
          </w:p>
          <w:p w:rsidR="003278A5" w:rsidRPr="003278A5" w:rsidRDefault="003278A5" w:rsidP="003278A5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В связи с установлением фактов недостоверности Отчета о бюджетных обязательствах (ф. 0503128) Управления образования как получателя бюджетных средств, Отчет о бюджетных обязательствах (ф. 0503128) главного распорядителя бюджетных средств на 01.01.2021 является недостоверным.</w:t>
            </w:r>
          </w:p>
          <w:p w:rsidR="003278A5" w:rsidRPr="003278A5" w:rsidRDefault="003278A5" w:rsidP="003278A5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 xml:space="preserve">2.2. В ходе </w:t>
            </w:r>
            <w:proofErr w:type="gramStart"/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проведения внешней проверки бюджетной отчетности Управления образования</w:t>
            </w:r>
            <w:proofErr w:type="gramEnd"/>
            <w:r w:rsidRPr="003278A5"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получателя бюджетных средств установлено следующее:</w:t>
            </w:r>
          </w:p>
          <w:p w:rsidR="003278A5" w:rsidRPr="003278A5" w:rsidRDefault="003278A5" w:rsidP="003278A5">
            <w:pPr>
              <w:pStyle w:val="a5"/>
              <w:numPr>
                <w:ilvl w:val="0"/>
                <w:numId w:val="33"/>
              </w:numPr>
              <w:tabs>
                <w:tab w:val="left" w:pos="30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78A5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отчетности, а именно: допущено искажение отдельных показателей Отчета о бюджетных обязательствах (ф.0503128).</w:t>
            </w:r>
          </w:p>
          <w:p w:rsidR="003278A5" w:rsidRPr="003278A5" w:rsidRDefault="003278A5" w:rsidP="003278A5">
            <w:pPr>
              <w:pStyle w:val="a5"/>
              <w:numPr>
                <w:ilvl w:val="0"/>
                <w:numId w:val="33"/>
              </w:numPr>
              <w:tabs>
                <w:tab w:val="left" w:pos="30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78A5">
              <w:rPr>
                <w:rFonts w:ascii="Times New Roman" w:hAnsi="Times New Roman"/>
                <w:sz w:val="24"/>
                <w:szCs w:val="24"/>
              </w:rPr>
              <w:t>Выявлены факты неполноты бюджетной отчетности: не представлены отдельные формы, предоставляемые в составе Пояснительной записки (ф. 053160).</w:t>
            </w:r>
          </w:p>
          <w:p w:rsidR="00AF6C3E" w:rsidRPr="003278A5" w:rsidRDefault="003278A5" w:rsidP="003278A5">
            <w:pPr>
              <w:pStyle w:val="a5"/>
              <w:numPr>
                <w:ilvl w:val="0"/>
                <w:numId w:val="33"/>
              </w:numPr>
              <w:tabs>
                <w:tab w:val="left" w:pos="30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78A5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 Так, Управлением образования допущены нарушения требований ст. 11 Федерального закона от 06.12.2011 № 402-ФЗ                             «О бухгалтерском учете», п. 7 Инструкции № 191н, а именно: отсутствуют отдельные акты сверок, подтвержденные дебиторами и кредиторами.</w:t>
            </w:r>
          </w:p>
          <w:p w:rsidR="003278A5" w:rsidRPr="003278A5" w:rsidRDefault="003278A5" w:rsidP="003278A5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78A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8A5">
              <w:rPr>
                <w:rFonts w:ascii="Times New Roman" w:hAnsi="Times New Roman"/>
                <w:sz w:val="24"/>
                <w:szCs w:val="24"/>
              </w:rPr>
              <w:t xml:space="preserve">Выборочной проверкой форм бюджетной </w:t>
            </w:r>
            <w:r w:rsidRPr="003278A5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 подведомственных Управлению образования учреждений (МКОУ для обучающихся с ОВЗ ООШ «Надежда», МКОУ для обучающихся с ОВЗ СОШ «Гармония», МКОУ РАООП «</w:t>
            </w:r>
            <w:proofErr w:type="spellStart"/>
            <w:r w:rsidRPr="003278A5">
              <w:rPr>
                <w:rFonts w:ascii="Times New Roman" w:hAnsi="Times New Roman"/>
                <w:sz w:val="24"/>
                <w:szCs w:val="24"/>
              </w:rPr>
              <w:t>Старогородковская</w:t>
            </w:r>
            <w:proofErr w:type="spellEnd"/>
            <w:r w:rsidRPr="00327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78A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278A5">
              <w:rPr>
                <w:rFonts w:ascii="Times New Roman" w:hAnsi="Times New Roman"/>
                <w:sz w:val="24"/>
                <w:szCs w:val="24"/>
              </w:rPr>
              <w:t xml:space="preserve">К)ШИ им. </w:t>
            </w:r>
            <w:proofErr w:type="spellStart"/>
            <w:r w:rsidRPr="003278A5">
              <w:rPr>
                <w:rFonts w:ascii="Times New Roman" w:hAnsi="Times New Roman"/>
                <w:sz w:val="24"/>
                <w:szCs w:val="24"/>
              </w:rPr>
              <w:t>Фурагиной</w:t>
            </w:r>
            <w:proofErr w:type="spellEnd"/>
            <w:r w:rsidRPr="003278A5">
              <w:rPr>
                <w:rFonts w:ascii="Times New Roman" w:hAnsi="Times New Roman"/>
                <w:sz w:val="24"/>
                <w:szCs w:val="24"/>
              </w:rPr>
              <w:t xml:space="preserve"> А.В.») установлено следующее:</w:t>
            </w:r>
          </w:p>
          <w:p w:rsidR="003278A5" w:rsidRPr="003278A5" w:rsidRDefault="003278A5" w:rsidP="003278A5">
            <w:pPr>
              <w:pStyle w:val="a5"/>
              <w:numPr>
                <w:ilvl w:val="0"/>
                <w:numId w:val="34"/>
              </w:numPr>
              <w:tabs>
                <w:tab w:val="left" w:pos="280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78A5">
              <w:rPr>
                <w:rFonts w:ascii="Times New Roman" w:hAnsi="Times New Roman"/>
                <w:sz w:val="24"/>
                <w:szCs w:val="24"/>
              </w:rPr>
              <w:t>Фактов недостоверности бухгалтерской отчетности не выявлено.</w:t>
            </w:r>
          </w:p>
          <w:p w:rsidR="003278A5" w:rsidRPr="003278A5" w:rsidRDefault="003278A5" w:rsidP="003278A5">
            <w:pPr>
              <w:pStyle w:val="a5"/>
              <w:numPr>
                <w:ilvl w:val="0"/>
                <w:numId w:val="34"/>
              </w:numPr>
              <w:tabs>
                <w:tab w:val="left" w:pos="280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78A5">
              <w:rPr>
                <w:rFonts w:ascii="Times New Roman" w:hAnsi="Times New Roman"/>
                <w:sz w:val="24"/>
                <w:szCs w:val="24"/>
              </w:rPr>
              <w:t>Фактов неполноты бухгалтерской отчетности не выявлено.</w:t>
            </w:r>
          </w:p>
          <w:p w:rsidR="003278A5" w:rsidRPr="003278A5" w:rsidRDefault="003278A5" w:rsidP="003278A5">
            <w:pPr>
              <w:pStyle w:val="a5"/>
              <w:numPr>
                <w:ilvl w:val="0"/>
                <w:numId w:val="34"/>
              </w:numPr>
              <w:tabs>
                <w:tab w:val="left" w:pos="280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278A5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отчетности: не проведена (к проверке не представлена) инвентаризация резервов предстоящих расходов и платежей, оценочных резервов (МКОУ для обучающихся с ОВЗ ООШ «Надежда»), отсутствовали отдельные акты сверок с контрагентами (МКОУ для обучающихся с ОВЗ ООШ «Надежда», МКОУ для обучающихся с ОВЗ СОШ «Гармония», МКОУ РАООП «</w:t>
            </w:r>
            <w:proofErr w:type="spellStart"/>
            <w:r w:rsidRPr="003278A5">
              <w:rPr>
                <w:rFonts w:ascii="Times New Roman" w:hAnsi="Times New Roman"/>
                <w:sz w:val="24"/>
                <w:szCs w:val="24"/>
              </w:rPr>
              <w:t>Старогородковская</w:t>
            </w:r>
            <w:proofErr w:type="spellEnd"/>
            <w:r w:rsidRPr="00327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78A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278A5">
              <w:rPr>
                <w:rFonts w:ascii="Times New Roman" w:hAnsi="Times New Roman"/>
                <w:sz w:val="24"/>
                <w:szCs w:val="24"/>
              </w:rPr>
              <w:t xml:space="preserve">К)ШИ им. </w:t>
            </w:r>
            <w:proofErr w:type="spellStart"/>
            <w:r w:rsidRPr="003278A5">
              <w:rPr>
                <w:rFonts w:ascii="Times New Roman" w:hAnsi="Times New Roman"/>
                <w:sz w:val="24"/>
                <w:szCs w:val="24"/>
              </w:rPr>
              <w:t>Фурагиной</w:t>
            </w:r>
            <w:proofErr w:type="spellEnd"/>
            <w:r w:rsidRPr="003278A5">
              <w:rPr>
                <w:rFonts w:ascii="Times New Roman" w:hAnsi="Times New Roman"/>
                <w:sz w:val="24"/>
                <w:szCs w:val="24"/>
              </w:rPr>
              <w:t xml:space="preserve"> А.В.»).</w:t>
            </w:r>
          </w:p>
          <w:p w:rsidR="003278A5" w:rsidRPr="003278A5" w:rsidRDefault="003278A5" w:rsidP="003278A5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и (или) копии документов Учетной политики Управления образования и подведомственных ему учреждений не размещены на официальном сайте субъекта учета в информационно-телекоммуникационной сети «Интернет».</w:t>
            </w:r>
            <w:proofErr w:type="gramEnd"/>
          </w:p>
          <w:p w:rsidR="003278A5" w:rsidRPr="003278A5" w:rsidRDefault="003278A5" w:rsidP="003278A5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порядка составления, </w:t>
            </w:r>
            <w:r w:rsidRPr="0032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и ведения бюджетных смет казенных учреждений, подведомственных Управлению образования, установлены отдельные нарушения Порядка составления, утверждения и ведения бюджетных смет Управления образования, утвержденного приказом  от 22.09.2019 № 1094 (с изменениями и дополнениями).</w:t>
            </w:r>
          </w:p>
          <w:p w:rsidR="003278A5" w:rsidRDefault="003278A5" w:rsidP="003278A5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 бюджетная роспись на 2020 год и плановый период 2021 и 2022 годов велась в соответствии с Порядком составления и ведения сводной бюджетной росписи бюджета Одинцовского городского округа и бюджетных росписей главных распорядителей средств бюджета округа, а также главных администраторов источников финансирования дефицита бюджета Одинцовского городского округа, утвержденным приказом Финансово-казначейского управления Администрации Одинцовского городского округа от 30.12.2019 № 56.</w:t>
            </w:r>
            <w:proofErr w:type="gramEnd"/>
          </w:p>
        </w:tc>
        <w:tc>
          <w:tcPr>
            <w:tcW w:w="2126" w:type="dxa"/>
          </w:tcPr>
          <w:p w:rsidR="00AF6C3E" w:rsidRPr="00CD1FF3" w:rsidRDefault="005B7B2B" w:rsidP="005B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F419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представления, отчет, информационное письмо</w:t>
            </w:r>
          </w:p>
        </w:tc>
        <w:tc>
          <w:tcPr>
            <w:tcW w:w="1843" w:type="dxa"/>
          </w:tcPr>
          <w:p w:rsidR="00AF6C3E" w:rsidRPr="00CD1FF3" w:rsidRDefault="005B7B2B" w:rsidP="00F41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</w:t>
            </w:r>
            <w:r w:rsidR="00F4195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исполнены полностью</w:t>
            </w:r>
          </w:p>
        </w:tc>
      </w:tr>
      <w:tr w:rsidR="00AF6C3E" w:rsidRPr="00FA6CA8" w:rsidTr="00B34368">
        <w:tc>
          <w:tcPr>
            <w:tcW w:w="817" w:type="dxa"/>
          </w:tcPr>
          <w:p w:rsidR="00AF6C3E" w:rsidRDefault="00DE2D41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AF6C3E" w:rsidRPr="00956483" w:rsidRDefault="00E23938" w:rsidP="0095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38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Комитета по культуре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AF6C3E" w:rsidRDefault="00E23938" w:rsidP="00E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39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от 29.12.2020 № 222 (с изменениями и дополнениями)</w:t>
            </w:r>
          </w:p>
        </w:tc>
        <w:tc>
          <w:tcPr>
            <w:tcW w:w="5671" w:type="dxa"/>
          </w:tcPr>
          <w:p w:rsidR="00433C43" w:rsidRPr="00433C43" w:rsidRDefault="00433C43" w:rsidP="00433C43">
            <w:pPr>
              <w:tabs>
                <w:tab w:val="left" w:pos="176"/>
                <w:tab w:val="left" w:pos="993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В ходе проведения выборочной прове</w:t>
            </w:r>
            <w:r w:rsidR="00F4195B">
              <w:rPr>
                <w:rFonts w:ascii="Times New Roman" w:hAnsi="Times New Roman" w:cs="Times New Roman"/>
                <w:sz w:val="24"/>
                <w:szCs w:val="24"/>
              </w:rPr>
              <w:t>рки бюджетной отчетности  К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омитета по культуре:</w:t>
            </w:r>
          </w:p>
          <w:p w:rsidR="00433C43" w:rsidRPr="00433C43" w:rsidRDefault="00433C43" w:rsidP="00433C43">
            <w:pPr>
              <w:tabs>
                <w:tab w:val="left" w:pos="176"/>
                <w:tab w:val="left" w:pos="993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Фактов недостоверности бюджетной отчетности не выявлено. </w:t>
            </w:r>
          </w:p>
          <w:p w:rsidR="00433C43" w:rsidRPr="00433C43" w:rsidRDefault="00433C43" w:rsidP="00433C43">
            <w:pPr>
              <w:tabs>
                <w:tab w:val="left" w:pos="176"/>
                <w:tab w:val="left" w:pos="993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>Фактов неполноты бюджетной отчетности не выявлено.</w:t>
            </w:r>
          </w:p>
          <w:p w:rsidR="00433C43" w:rsidRPr="00433C43" w:rsidRDefault="00433C43" w:rsidP="00433C43">
            <w:pPr>
              <w:tabs>
                <w:tab w:val="left" w:pos="176"/>
                <w:tab w:val="left" w:pos="993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Фактов, способных </w:t>
            </w:r>
            <w:proofErr w:type="gram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повлиять на достоверность бюджетной отчетности не выявлено</w:t>
            </w:r>
            <w:proofErr w:type="gram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При сопоставлении данных форм бюджетной отчетности с данными Главной книги расхождений не установлено. Формы отчетности взаимоувязаны. </w:t>
            </w:r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п.9 Приказа Минфина России от 30.12.2017 № 274н «Об утверждении федерального стандарта бухгалтерского учета для организаций 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сектора «Учетная политика, оценочные значения и ошибки» (далее – Федеральный стандарт № 274н) основные положения учетной политики и (или) копии документов учетной политики Комитета по культуре не размещены на официальном сайте субъекта учета в информационно-коммуникационной сети «Интернет».</w:t>
            </w:r>
            <w:proofErr w:type="gramEnd"/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В ходе проведения выборочной проверки бюджетной отчетности  муниципального бюджетного учреждения дополнительного образования «Наро-</w:t>
            </w:r>
            <w:proofErr w:type="spell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Осановская</w:t>
            </w:r>
            <w:proofErr w:type="spell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(далее – МБУ ДО «Наро-</w:t>
            </w:r>
            <w:proofErr w:type="spell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Осановская</w:t>
            </w:r>
            <w:proofErr w:type="spell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 ДШИ») установлено следующее:</w:t>
            </w:r>
          </w:p>
          <w:p w:rsidR="00433C43" w:rsidRPr="00433C43" w:rsidRDefault="00433C43" w:rsidP="00433C43">
            <w:pPr>
              <w:tabs>
                <w:tab w:val="left" w:pos="176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Фактов недостоверности бюджетной отчетности не выявлено. </w:t>
            </w:r>
          </w:p>
          <w:p w:rsidR="00433C43" w:rsidRPr="00433C43" w:rsidRDefault="00433C43" w:rsidP="00433C43">
            <w:pPr>
              <w:tabs>
                <w:tab w:val="left" w:pos="176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>Фактов неполноты бюджетной отчетности не выявлено.</w:t>
            </w:r>
          </w:p>
          <w:p w:rsidR="00433C43" w:rsidRPr="00433C43" w:rsidRDefault="00433C43" w:rsidP="00433C43">
            <w:pPr>
              <w:tabs>
                <w:tab w:val="left" w:pos="176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факты, способные повлиять на достоверность бюджетной отчетности: допущены нарушения требований ст.11 Федерального закона    № 402-ФЗ от 06.12.2011 «О бухгалтерском учете» (далее – Федеральный закон № 402-ФЗ), п.3.44 Приказа Минфина России от 13.06.1995 № 49 «Об утверждении методических указаний по инвентаризации имущества и финансовых обязательств (далее - Методические указания по инвентаризации имущества № 49), а именно: отсутствуют отдельные акты сверок, подтвержденные дебиторами и кредиторами.</w:t>
            </w:r>
            <w:proofErr w:type="gramEnd"/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. В нарушение п.9 Федерального стандарта № 274н основные положения учетной политики и (или) копии документов учетной политики МБУ ДО 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«Наро-</w:t>
            </w:r>
            <w:proofErr w:type="spell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Осановская</w:t>
            </w:r>
            <w:proofErr w:type="spell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 ДШИ» не размещены на официальном сайте субъекта учета в информационно-коммуникационной сети «Интернет».</w:t>
            </w:r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. В ходе проведения выборочной проверки бюджетной отчетности  муниципального бюджетного учреждения дополнительного образования «</w:t>
            </w:r>
            <w:proofErr w:type="spell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«Лира» (далее – МБУ ДО «</w:t>
            </w:r>
            <w:proofErr w:type="spell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«Лира») установлено следующее:</w:t>
            </w:r>
          </w:p>
          <w:p w:rsidR="00433C43" w:rsidRPr="00433C43" w:rsidRDefault="00433C43" w:rsidP="00433C43">
            <w:pPr>
              <w:tabs>
                <w:tab w:val="left" w:pos="176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Фактов недостоверности бюджетной отчетности не выявлено. </w:t>
            </w:r>
          </w:p>
          <w:p w:rsidR="00433C43" w:rsidRPr="00433C43" w:rsidRDefault="00433C43" w:rsidP="00433C43">
            <w:pPr>
              <w:tabs>
                <w:tab w:val="left" w:pos="176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факты неполноты бюджетной отчетности, а именно: отсутствует ф.0503769 «Сведения по дебиторской и кредиторской задолженности учреждения» по виду финансового обеспечения (деятельности) – субсидия на иные цели.</w:t>
            </w:r>
          </w:p>
          <w:p w:rsidR="00433C43" w:rsidRPr="00433C43" w:rsidRDefault="00433C43" w:rsidP="00433C43">
            <w:pPr>
              <w:tabs>
                <w:tab w:val="left" w:pos="176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факты, способные повлиять на достоверность бюджетной отчетности: допущены нарушения требований ст.11 Федерального закона    № 402-ФЗ, п.3.44 Методических указаний по инвентаризации имущества      № 49, а именно: отсутствуют отдельные акты сверок, подтвержденные дебиторами и кредиторами.</w:t>
            </w:r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. В нарушение п.9 Федерального стандарта № 274н основные положения учетной политики и (или) копии документов учетной политики МБУ ДО «</w:t>
            </w:r>
            <w:proofErr w:type="spell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 не размещены на официальном сайте субъекта учета в информационно-коммуникационной сети «Интернет».</w:t>
            </w:r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. В ходе проведения выборочной проверки бюджетной отчетности  муниципального бюджетного учреждения культуры «Одинцовский парк культуры, спорта и отдыха» (далее – МБУК «Одинцовский парк </w:t>
            </w:r>
            <w:proofErr w:type="spell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КСиО</w:t>
            </w:r>
            <w:proofErr w:type="spell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») установлено следующее:</w:t>
            </w:r>
          </w:p>
          <w:p w:rsidR="00433C43" w:rsidRPr="00433C43" w:rsidRDefault="00433C43" w:rsidP="00433C43">
            <w:pPr>
              <w:tabs>
                <w:tab w:val="left" w:pos="176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Фактов недостоверности бюджетной отчетности не выявлено. </w:t>
            </w:r>
          </w:p>
          <w:p w:rsidR="00433C43" w:rsidRPr="00433C43" w:rsidRDefault="00433C43" w:rsidP="00433C43">
            <w:pPr>
              <w:tabs>
                <w:tab w:val="left" w:pos="176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>Фактов неполноты бюджетной отчетности не выявлено.</w:t>
            </w:r>
          </w:p>
          <w:p w:rsidR="00433C43" w:rsidRPr="00433C43" w:rsidRDefault="00433C43" w:rsidP="00433C43">
            <w:pPr>
              <w:tabs>
                <w:tab w:val="left" w:pos="176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факты, способные повлиять на достоверность бюджетной отчетности: допущены нарушения требований ст.11 Федерального закона    № 402-ФЗ, п.3.44 Методических указаний по инвентаризации имущества      № 49, а именно: отсутствуют отдельные акты сверок, подтвержденные дебиторами и кредиторами.</w:t>
            </w:r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. В нарушение п.9 Федерального стандарта № 274н основные положения учетной политики и (или) копии документов учетной политики МБУК «Одинцовский парк </w:t>
            </w:r>
            <w:proofErr w:type="spell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КСиО</w:t>
            </w:r>
            <w:proofErr w:type="spell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» не размещены на официальном сайте субъекта учета в информационно-коммуникационной сети «Интернет».</w:t>
            </w:r>
          </w:p>
          <w:p w:rsidR="00AF6C3E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 ст.9 и п.1 ст.10 Федерального закона № 402-ФЗ,    п. 171 Приказа Минфина России от 16.12.2010 № 174н «Об утверждении плана счетов бухгалтерского учета бюджетных учреждений и Инструкции по его применению» сумма  доходов (поступлений) МБУК «Одинцовский парк </w:t>
            </w:r>
            <w:proofErr w:type="spell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КСиО</w:t>
            </w:r>
            <w:proofErr w:type="spellEnd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», утвержденных планом финансово-хозяйственной деятельности на 2020 год, не соответствует данным Главной книги.</w:t>
            </w:r>
            <w:proofErr w:type="gramEnd"/>
          </w:p>
        </w:tc>
        <w:tc>
          <w:tcPr>
            <w:tcW w:w="2126" w:type="dxa"/>
          </w:tcPr>
          <w:p w:rsidR="00AF6C3E" w:rsidRPr="00CD1FF3" w:rsidRDefault="00433C43" w:rsidP="00F4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="00F419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2D41">
              <w:rPr>
                <w:rFonts w:ascii="Times New Roman" w:hAnsi="Times New Roman" w:cs="Times New Roman"/>
                <w:sz w:val="24"/>
                <w:szCs w:val="24"/>
              </w:rPr>
              <w:t>, представлени</w:t>
            </w:r>
            <w:r w:rsidR="00F419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2D41">
              <w:rPr>
                <w:rFonts w:ascii="Times New Roman" w:hAnsi="Times New Roman" w:cs="Times New Roman"/>
                <w:sz w:val="24"/>
                <w:szCs w:val="24"/>
              </w:rPr>
              <w:t>, отчет, информационное письмо</w:t>
            </w:r>
          </w:p>
        </w:tc>
        <w:tc>
          <w:tcPr>
            <w:tcW w:w="1843" w:type="dxa"/>
          </w:tcPr>
          <w:p w:rsidR="00AF6C3E" w:rsidRPr="00CD1FF3" w:rsidRDefault="00DE2D41" w:rsidP="00F41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</w:t>
            </w:r>
            <w:r w:rsidR="00F4195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исполнены полностью</w:t>
            </w:r>
          </w:p>
        </w:tc>
      </w:tr>
      <w:tr w:rsidR="00F4195B" w:rsidRPr="00FA6CA8" w:rsidTr="00B34368">
        <w:tc>
          <w:tcPr>
            <w:tcW w:w="817" w:type="dxa"/>
          </w:tcPr>
          <w:p w:rsidR="00F4195B" w:rsidRDefault="00F4195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F4195B" w:rsidRPr="00F4195B" w:rsidRDefault="00F4195B" w:rsidP="00F4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5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</w:p>
          <w:p w:rsidR="00F4195B" w:rsidRPr="00E23938" w:rsidRDefault="00F4195B" w:rsidP="00F4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5B">
              <w:rPr>
                <w:rFonts w:ascii="Times New Roman" w:hAnsi="Times New Roman" w:cs="Times New Roman"/>
                <w:sz w:val="24"/>
                <w:szCs w:val="24"/>
              </w:rPr>
              <w:t>Комитета физической культуры и спорта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F4195B" w:rsidRDefault="00F4195B" w:rsidP="00F4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41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F4195B" w:rsidRPr="00F4195B" w:rsidRDefault="00F4195B" w:rsidP="00F4195B">
            <w:pPr>
              <w:pStyle w:val="a5"/>
              <w:numPr>
                <w:ilvl w:val="0"/>
                <w:numId w:val="39"/>
              </w:numPr>
              <w:tabs>
                <w:tab w:val="left" w:pos="318"/>
                <w:tab w:val="left" w:pos="460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4195B">
              <w:rPr>
                <w:rFonts w:ascii="Times New Roman" w:hAnsi="Times New Roman"/>
                <w:sz w:val="24"/>
                <w:szCs w:val="24"/>
              </w:rPr>
              <w:t>В ходе проведения внешней проверки Комитета физической культуры и спорта и подведомственных ему учреждений:</w:t>
            </w:r>
          </w:p>
          <w:p w:rsidR="00F4195B" w:rsidRPr="00F4195B" w:rsidRDefault="00F4195B" w:rsidP="00F4195B">
            <w:pPr>
              <w:pStyle w:val="a5"/>
              <w:numPr>
                <w:ilvl w:val="0"/>
                <w:numId w:val="40"/>
              </w:numPr>
              <w:tabs>
                <w:tab w:val="left" w:pos="0"/>
                <w:tab w:val="left" w:pos="237"/>
                <w:tab w:val="left" w:pos="460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95B">
              <w:rPr>
                <w:rFonts w:ascii="Times New Roman" w:hAnsi="Times New Roman"/>
                <w:sz w:val="24"/>
                <w:szCs w:val="24"/>
              </w:rPr>
              <w:t>Фактов неполноты бюджетной (бухгалтерской) отчетности не выявлено.</w:t>
            </w:r>
          </w:p>
          <w:p w:rsidR="00F4195B" w:rsidRPr="00F4195B" w:rsidRDefault="00F4195B" w:rsidP="00F4195B">
            <w:pPr>
              <w:pStyle w:val="a5"/>
              <w:numPr>
                <w:ilvl w:val="0"/>
                <w:numId w:val="40"/>
              </w:numPr>
              <w:tabs>
                <w:tab w:val="left" w:pos="0"/>
                <w:tab w:val="left" w:pos="237"/>
                <w:tab w:val="left" w:pos="460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95B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(бухгалтерской) отчетности не выявлено.</w:t>
            </w:r>
          </w:p>
          <w:p w:rsidR="00F4195B" w:rsidRPr="00F4195B" w:rsidRDefault="00F4195B" w:rsidP="00F4195B">
            <w:pPr>
              <w:pStyle w:val="a5"/>
              <w:numPr>
                <w:ilvl w:val="0"/>
                <w:numId w:val="40"/>
              </w:numPr>
              <w:tabs>
                <w:tab w:val="left" w:pos="0"/>
                <w:tab w:val="left" w:pos="237"/>
                <w:tab w:val="left" w:pos="460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4195B">
              <w:rPr>
                <w:rFonts w:ascii="Times New Roman" w:hAnsi="Times New Roman"/>
                <w:sz w:val="24"/>
                <w:szCs w:val="24"/>
              </w:rPr>
              <w:tab/>
              <w:t xml:space="preserve">Выявлены факты, способные негативно повлиять на достоверность отчетности: данные о сметных (плановых) назначениях по расходам (выплатам) бюджетного учреждения отражены в регистрах бухгалтерского учета не в соответствии с первичными учетными документами (МБУС Спортивная школа «Одинцово»); </w:t>
            </w:r>
            <w:proofErr w:type="gramStart"/>
            <w:r w:rsidRPr="00F4195B">
              <w:rPr>
                <w:rFonts w:ascii="Times New Roman" w:hAnsi="Times New Roman"/>
                <w:sz w:val="24"/>
                <w:szCs w:val="24"/>
              </w:rPr>
              <w:t>отсутствуют отдельные описи по инвентаризации расходов будущих периодов и резервов предстоящих расходов и платежей, оценочных резервов (МБУС Спортивная школа «Одинцово», МБУС Одинцовская спортивная школа олимпийского резерва по фехтованию), а также отсутствуют отдельные акты сверок, подтвержденные дебиторами и кредиторами (Комитет физической культуры и спорта, МБУС Спортивная школа «Одинцово», МБУС Одинцовская спортивная школа олимпийского резерва по фехтованию).</w:t>
            </w:r>
            <w:proofErr w:type="gramEnd"/>
          </w:p>
          <w:p w:rsidR="00F4195B" w:rsidRPr="00F4195B" w:rsidRDefault="00F4195B" w:rsidP="00F4195B">
            <w:pPr>
              <w:tabs>
                <w:tab w:val="left" w:pos="176"/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9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4195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и (или) копии документов Учетной политики Комитета физической культуры и спорта и подведомственных </w:t>
            </w:r>
            <w:r w:rsidRPr="00F4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 учреждений не размещены на официальном сайте субъекта учета в информационно-телекоммуникационной сети «Интернет».</w:t>
            </w:r>
            <w:proofErr w:type="gramEnd"/>
          </w:p>
          <w:p w:rsidR="00F4195B" w:rsidRDefault="00F4195B" w:rsidP="00F4195B">
            <w:pPr>
              <w:tabs>
                <w:tab w:val="left" w:pos="176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4195B">
              <w:rPr>
                <w:rFonts w:ascii="Times New Roman" w:hAnsi="Times New Roman" w:cs="Times New Roman"/>
                <w:sz w:val="24"/>
                <w:szCs w:val="24"/>
              </w:rPr>
              <w:t>Комитетом физической культуры и спорта бюджетная роспись на 2020 год и плановый период 2021 и 2022 годов велась в соответствии с Порядком составления и ведения сводной бюджетной росписи бюджета Одинцовского городского округа и бюджетных росписей главных распорядителей средств бюджета округа, а также главных администраторов источников финансирования дефицита бюджета Одинцовского городского округа.</w:t>
            </w:r>
            <w:proofErr w:type="gramEnd"/>
          </w:p>
        </w:tc>
        <w:tc>
          <w:tcPr>
            <w:tcW w:w="2126" w:type="dxa"/>
          </w:tcPr>
          <w:p w:rsidR="00F4195B" w:rsidRPr="00DE2D41" w:rsidRDefault="00F4195B" w:rsidP="00C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Акты, отчет, представления, информационные письма</w:t>
            </w:r>
          </w:p>
        </w:tc>
        <w:tc>
          <w:tcPr>
            <w:tcW w:w="1843" w:type="dxa"/>
          </w:tcPr>
          <w:p w:rsidR="00F4195B" w:rsidRDefault="00F4195B" w:rsidP="00F41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представлениях, исполнены полностью</w:t>
            </w:r>
          </w:p>
        </w:tc>
      </w:tr>
    </w:tbl>
    <w:p w:rsidR="008D02C5" w:rsidRPr="00047DBE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047DBE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5F"/>
    <w:multiLevelType w:val="hybridMultilevel"/>
    <w:tmpl w:val="E89E893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474B"/>
    <w:multiLevelType w:val="hybridMultilevel"/>
    <w:tmpl w:val="CA14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25CA"/>
    <w:multiLevelType w:val="hybridMultilevel"/>
    <w:tmpl w:val="F6EC416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7E50"/>
    <w:multiLevelType w:val="hybridMultilevel"/>
    <w:tmpl w:val="35044C7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C87"/>
    <w:multiLevelType w:val="hybridMultilevel"/>
    <w:tmpl w:val="53AA166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3819"/>
    <w:multiLevelType w:val="hybridMultilevel"/>
    <w:tmpl w:val="9D14B74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110E61"/>
    <w:multiLevelType w:val="hybridMultilevel"/>
    <w:tmpl w:val="43D8477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582B"/>
    <w:multiLevelType w:val="hybridMultilevel"/>
    <w:tmpl w:val="FA72A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8479D"/>
    <w:multiLevelType w:val="hybridMultilevel"/>
    <w:tmpl w:val="EE0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D56DA"/>
    <w:multiLevelType w:val="hybridMultilevel"/>
    <w:tmpl w:val="60ECCD4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6A52"/>
    <w:multiLevelType w:val="multilevel"/>
    <w:tmpl w:val="038A1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7" w:hanging="2160"/>
      </w:pPr>
      <w:rPr>
        <w:rFonts w:hint="default"/>
      </w:rPr>
    </w:lvl>
  </w:abstractNum>
  <w:abstractNum w:abstractNumId="11">
    <w:nsid w:val="2B7B3FC2"/>
    <w:multiLevelType w:val="hybridMultilevel"/>
    <w:tmpl w:val="7A86C99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033B5"/>
    <w:multiLevelType w:val="hybridMultilevel"/>
    <w:tmpl w:val="909417C4"/>
    <w:lvl w:ilvl="0" w:tplc="0C822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53CB8"/>
    <w:multiLevelType w:val="hybridMultilevel"/>
    <w:tmpl w:val="3BF48A8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14426"/>
    <w:multiLevelType w:val="hybridMultilevel"/>
    <w:tmpl w:val="2A96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14C5C"/>
    <w:multiLevelType w:val="hybridMultilevel"/>
    <w:tmpl w:val="4D04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5658C"/>
    <w:multiLevelType w:val="hybridMultilevel"/>
    <w:tmpl w:val="E3F265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1645F1D"/>
    <w:multiLevelType w:val="hybridMultilevel"/>
    <w:tmpl w:val="3168F41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E200B"/>
    <w:multiLevelType w:val="hybridMultilevel"/>
    <w:tmpl w:val="DE6C50B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71CAB"/>
    <w:multiLevelType w:val="hybridMultilevel"/>
    <w:tmpl w:val="291A386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D5895"/>
    <w:multiLevelType w:val="hybridMultilevel"/>
    <w:tmpl w:val="A31E671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1751F"/>
    <w:multiLevelType w:val="hybridMultilevel"/>
    <w:tmpl w:val="0B62086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D79AD"/>
    <w:multiLevelType w:val="hybridMultilevel"/>
    <w:tmpl w:val="BADE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51BDC"/>
    <w:multiLevelType w:val="hybridMultilevel"/>
    <w:tmpl w:val="E0D872E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95F86"/>
    <w:multiLevelType w:val="hybridMultilevel"/>
    <w:tmpl w:val="BF9086A0"/>
    <w:lvl w:ilvl="0" w:tplc="D4184D7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07A1DC5"/>
    <w:multiLevelType w:val="hybridMultilevel"/>
    <w:tmpl w:val="8004A7F2"/>
    <w:lvl w:ilvl="0" w:tplc="64BAB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64FEA"/>
    <w:multiLevelType w:val="hybridMultilevel"/>
    <w:tmpl w:val="2A66DED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32745"/>
    <w:multiLevelType w:val="hybridMultilevel"/>
    <w:tmpl w:val="649416C4"/>
    <w:lvl w:ilvl="0" w:tplc="11F2F1F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4D5595"/>
    <w:multiLevelType w:val="hybridMultilevel"/>
    <w:tmpl w:val="E724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F164F"/>
    <w:multiLevelType w:val="hybridMultilevel"/>
    <w:tmpl w:val="0B0C2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F916B0"/>
    <w:multiLevelType w:val="hybridMultilevel"/>
    <w:tmpl w:val="0E82EB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04CF5"/>
    <w:multiLevelType w:val="hybridMultilevel"/>
    <w:tmpl w:val="4880AB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23315"/>
    <w:multiLevelType w:val="hybridMultilevel"/>
    <w:tmpl w:val="20465E88"/>
    <w:lvl w:ilvl="0" w:tplc="A64ACE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487B5A"/>
    <w:multiLevelType w:val="hybridMultilevel"/>
    <w:tmpl w:val="0DD051C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A3F99"/>
    <w:multiLevelType w:val="hybridMultilevel"/>
    <w:tmpl w:val="42587BC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B1CAB"/>
    <w:multiLevelType w:val="hybridMultilevel"/>
    <w:tmpl w:val="0E2CFEC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12F"/>
    <w:multiLevelType w:val="hybridMultilevel"/>
    <w:tmpl w:val="CA603C3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952D4"/>
    <w:multiLevelType w:val="hybridMultilevel"/>
    <w:tmpl w:val="DCBA4C90"/>
    <w:lvl w:ilvl="0" w:tplc="B65214BC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86471F"/>
    <w:multiLevelType w:val="hybridMultilevel"/>
    <w:tmpl w:val="7944CCDC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2"/>
  </w:num>
  <w:num w:numId="4">
    <w:abstractNumId w:val="5"/>
  </w:num>
  <w:num w:numId="5">
    <w:abstractNumId w:val="38"/>
  </w:num>
  <w:num w:numId="6">
    <w:abstractNumId w:val="29"/>
  </w:num>
  <w:num w:numId="7">
    <w:abstractNumId w:val="10"/>
  </w:num>
  <w:num w:numId="8">
    <w:abstractNumId w:val="23"/>
  </w:num>
  <w:num w:numId="9">
    <w:abstractNumId w:val="30"/>
  </w:num>
  <w:num w:numId="10">
    <w:abstractNumId w:val="8"/>
  </w:num>
  <w:num w:numId="11">
    <w:abstractNumId w:val="14"/>
  </w:num>
  <w:num w:numId="12">
    <w:abstractNumId w:val="24"/>
  </w:num>
  <w:num w:numId="13">
    <w:abstractNumId w:val="37"/>
  </w:num>
  <w:num w:numId="14">
    <w:abstractNumId w:val="13"/>
  </w:num>
  <w:num w:numId="15">
    <w:abstractNumId w:val="6"/>
  </w:num>
  <w:num w:numId="16">
    <w:abstractNumId w:val="3"/>
  </w:num>
  <w:num w:numId="17">
    <w:abstractNumId w:val="39"/>
  </w:num>
  <w:num w:numId="18">
    <w:abstractNumId w:val="20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7"/>
  </w:num>
  <w:num w:numId="23">
    <w:abstractNumId w:val="31"/>
  </w:num>
  <w:num w:numId="24">
    <w:abstractNumId w:val="21"/>
  </w:num>
  <w:num w:numId="25">
    <w:abstractNumId w:val="18"/>
  </w:num>
  <w:num w:numId="26">
    <w:abstractNumId w:val="0"/>
  </w:num>
  <w:num w:numId="27">
    <w:abstractNumId w:val="34"/>
  </w:num>
  <w:num w:numId="28">
    <w:abstractNumId w:val="36"/>
  </w:num>
  <w:num w:numId="29">
    <w:abstractNumId w:val="17"/>
  </w:num>
  <w:num w:numId="30">
    <w:abstractNumId w:val="7"/>
  </w:num>
  <w:num w:numId="31">
    <w:abstractNumId w:val="1"/>
  </w:num>
  <w:num w:numId="32">
    <w:abstractNumId w:val="2"/>
  </w:num>
  <w:num w:numId="33">
    <w:abstractNumId w:val="9"/>
  </w:num>
  <w:num w:numId="34">
    <w:abstractNumId w:val="4"/>
  </w:num>
  <w:num w:numId="35">
    <w:abstractNumId w:val="28"/>
  </w:num>
  <w:num w:numId="36">
    <w:abstractNumId w:val="26"/>
  </w:num>
  <w:num w:numId="37">
    <w:abstractNumId w:val="11"/>
  </w:num>
  <w:num w:numId="38">
    <w:abstractNumId w:val="22"/>
  </w:num>
  <w:num w:numId="39">
    <w:abstractNumId w:val="1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11739"/>
    <w:rsid w:val="000138CD"/>
    <w:rsid w:val="00032DE3"/>
    <w:rsid w:val="00047DBE"/>
    <w:rsid w:val="0005620B"/>
    <w:rsid w:val="000E2021"/>
    <w:rsid w:val="001313EC"/>
    <w:rsid w:val="0014113D"/>
    <w:rsid w:val="00196C52"/>
    <w:rsid w:val="00196E62"/>
    <w:rsid w:val="001A5EA9"/>
    <w:rsid w:val="001B1890"/>
    <w:rsid w:val="00204296"/>
    <w:rsid w:val="0021021C"/>
    <w:rsid w:val="002172C5"/>
    <w:rsid w:val="002268B0"/>
    <w:rsid w:val="00231841"/>
    <w:rsid w:val="00243B68"/>
    <w:rsid w:val="00244176"/>
    <w:rsid w:val="00254D3F"/>
    <w:rsid w:val="002C56F7"/>
    <w:rsid w:val="002D4B84"/>
    <w:rsid w:val="003278A5"/>
    <w:rsid w:val="0034404A"/>
    <w:rsid w:val="00352018"/>
    <w:rsid w:val="003559D6"/>
    <w:rsid w:val="0036702D"/>
    <w:rsid w:val="00390DDA"/>
    <w:rsid w:val="00391330"/>
    <w:rsid w:val="003C57B9"/>
    <w:rsid w:val="003D0D6E"/>
    <w:rsid w:val="003E1F73"/>
    <w:rsid w:val="00433C43"/>
    <w:rsid w:val="00456077"/>
    <w:rsid w:val="0047421C"/>
    <w:rsid w:val="00480D02"/>
    <w:rsid w:val="00492EDF"/>
    <w:rsid w:val="004C1372"/>
    <w:rsid w:val="004C7D30"/>
    <w:rsid w:val="004D42E8"/>
    <w:rsid w:val="00517311"/>
    <w:rsid w:val="005437F6"/>
    <w:rsid w:val="00595750"/>
    <w:rsid w:val="005A16E9"/>
    <w:rsid w:val="005A2110"/>
    <w:rsid w:val="005A26E1"/>
    <w:rsid w:val="005A3CA9"/>
    <w:rsid w:val="005A53DA"/>
    <w:rsid w:val="005B7B2B"/>
    <w:rsid w:val="005C68B1"/>
    <w:rsid w:val="005D2FE2"/>
    <w:rsid w:val="005F25C6"/>
    <w:rsid w:val="005F3A20"/>
    <w:rsid w:val="00642F78"/>
    <w:rsid w:val="006473A0"/>
    <w:rsid w:val="006547E8"/>
    <w:rsid w:val="00661F9C"/>
    <w:rsid w:val="00673758"/>
    <w:rsid w:val="0067589F"/>
    <w:rsid w:val="00682F6B"/>
    <w:rsid w:val="00690209"/>
    <w:rsid w:val="00694771"/>
    <w:rsid w:val="006C2FAC"/>
    <w:rsid w:val="006D4EBC"/>
    <w:rsid w:val="006F26C4"/>
    <w:rsid w:val="007042E8"/>
    <w:rsid w:val="0073353E"/>
    <w:rsid w:val="007354E6"/>
    <w:rsid w:val="0074745A"/>
    <w:rsid w:val="00757652"/>
    <w:rsid w:val="007A2AB6"/>
    <w:rsid w:val="007A6001"/>
    <w:rsid w:val="007C74D2"/>
    <w:rsid w:val="007D4388"/>
    <w:rsid w:val="00824B7C"/>
    <w:rsid w:val="00830413"/>
    <w:rsid w:val="0083246F"/>
    <w:rsid w:val="00842CCE"/>
    <w:rsid w:val="00857BB4"/>
    <w:rsid w:val="008662E0"/>
    <w:rsid w:val="00873C74"/>
    <w:rsid w:val="008811AB"/>
    <w:rsid w:val="00896172"/>
    <w:rsid w:val="008A6AF9"/>
    <w:rsid w:val="008B5999"/>
    <w:rsid w:val="008B6349"/>
    <w:rsid w:val="008C3E94"/>
    <w:rsid w:val="008D02C5"/>
    <w:rsid w:val="008E3D1C"/>
    <w:rsid w:val="008F6646"/>
    <w:rsid w:val="008F74BF"/>
    <w:rsid w:val="0090278A"/>
    <w:rsid w:val="0093491C"/>
    <w:rsid w:val="00942D02"/>
    <w:rsid w:val="00947ED0"/>
    <w:rsid w:val="00956483"/>
    <w:rsid w:val="0098334F"/>
    <w:rsid w:val="00985289"/>
    <w:rsid w:val="009A2F4C"/>
    <w:rsid w:val="009A3F39"/>
    <w:rsid w:val="009F29D4"/>
    <w:rsid w:val="009F68BD"/>
    <w:rsid w:val="00A168BD"/>
    <w:rsid w:val="00A20D06"/>
    <w:rsid w:val="00A31643"/>
    <w:rsid w:val="00A34E01"/>
    <w:rsid w:val="00A60EA3"/>
    <w:rsid w:val="00A6228E"/>
    <w:rsid w:val="00A629FE"/>
    <w:rsid w:val="00A65EF2"/>
    <w:rsid w:val="00A90CD9"/>
    <w:rsid w:val="00AF2FAC"/>
    <w:rsid w:val="00AF6C3E"/>
    <w:rsid w:val="00B24E25"/>
    <w:rsid w:val="00B32ACA"/>
    <w:rsid w:val="00B34368"/>
    <w:rsid w:val="00BA1619"/>
    <w:rsid w:val="00C17420"/>
    <w:rsid w:val="00C21A4B"/>
    <w:rsid w:val="00C338B0"/>
    <w:rsid w:val="00C36846"/>
    <w:rsid w:val="00C71F4A"/>
    <w:rsid w:val="00C965EC"/>
    <w:rsid w:val="00CA2796"/>
    <w:rsid w:val="00CB1729"/>
    <w:rsid w:val="00CC46B1"/>
    <w:rsid w:val="00CC5C78"/>
    <w:rsid w:val="00CD1FF3"/>
    <w:rsid w:val="00CE5886"/>
    <w:rsid w:val="00CF0812"/>
    <w:rsid w:val="00CF21AA"/>
    <w:rsid w:val="00D13599"/>
    <w:rsid w:val="00D177BE"/>
    <w:rsid w:val="00D46365"/>
    <w:rsid w:val="00D95B8F"/>
    <w:rsid w:val="00DC7B6A"/>
    <w:rsid w:val="00DD0D35"/>
    <w:rsid w:val="00DE2D41"/>
    <w:rsid w:val="00DF6D51"/>
    <w:rsid w:val="00E23938"/>
    <w:rsid w:val="00E33937"/>
    <w:rsid w:val="00E42516"/>
    <w:rsid w:val="00E6464C"/>
    <w:rsid w:val="00EA0269"/>
    <w:rsid w:val="00EC5E12"/>
    <w:rsid w:val="00ED6CA6"/>
    <w:rsid w:val="00EE40D6"/>
    <w:rsid w:val="00F02378"/>
    <w:rsid w:val="00F0251D"/>
    <w:rsid w:val="00F4195B"/>
    <w:rsid w:val="00F47B27"/>
    <w:rsid w:val="00F7439D"/>
    <w:rsid w:val="00F94889"/>
    <w:rsid w:val="00FA6CA8"/>
    <w:rsid w:val="00FB51A5"/>
    <w:rsid w:val="00FD77BB"/>
    <w:rsid w:val="00FE7038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2206-CAAE-4633-82EA-C3580BD2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16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112</cp:revision>
  <cp:lastPrinted>2017-06-19T07:00:00Z</cp:lastPrinted>
  <dcterms:created xsi:type="dcterms:W3CDTF">2017-06-16T08:43:00Z</dcterms:created>
  <dcterms:modified xsi:type="dcterms:W3CDTF">2021-07-23T07:15:00Z</dcterms:modified>
</cp:coreProperties>
</file>