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6A" w:rsidRDefault="00221245" w:rsidP="004B2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внешней проверки годового отчета об исполнении бюджета </w:t>
      </w:r>
    </w:p>
    <w:p w:rsidR="00221245" w:rsidRDefault="00221245" w:rsidP="004B2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84E7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84E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055" w:type="dxa"/>
        <w:tblLayout w:type="fixed"/>
        <w:tblLook w:val="04A0" w:firstRow="1" w:lastRow="0" w:firstColumn="1" w:lastColumn="0" w:noHBand="0" w:noVBand="1"/>
      </w:tblPr>
      <w:tblGrid>
        <w:gridCol w:w="680"/>
        <w:gridCol w:w="2547"/>
        <w:gridCol w:w="1843"/>
        <w:gridCol w:w="7229"/>
        <w:gridCol w:w="2756"/>
      </w:tblGrid>
      <w:tr w:rsidR="004B246A" w:rsidRPr="00FA6CA8" w:rsidTr="00C10208">
        <w:trPr>
          <w:trHeight w:val="1048"/>
        </w:trPr>
        <w:tc>
          <w:tcPr>
            <w:tcW w:w="680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547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Наименование экспертно-аналитического мероприятия</w:t>
            </w:r>
          </w:p>
        </w:tc>
        <w:tc>
          <w:tcPr>
            <w:tcW w:w="1843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Основание для проведения</w:t>
            </w:r>
          </w:p>
        </w:tc>
        <w:tc>
          <w:tcPr>
            <w:tcW w:w="7229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Результаты экспертно-аналитического мероприятия</w:t>
            </w:r>
          </w:p>
        </w:tc>
        <w:tc>
          <w:tcPr>
            <w:tcW w:w="2756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4B246A" w:rsidRPr="006E3929" w:rsidTr="00C10208">
        <w:trPr>
          <w:trHeight w:val="983"/>
        </w:trPr>
        <w:tc>
          <w:tcPr>
            <w:tcW w:w="680" w:type="dxa"/>
          </w:tcPr>
          <w:p w:rsidR="004B246A" w:rsidRPr="004B246A" w:rsidRDefault="004B246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47" w:type="dxa"/>
          </w:tcPr>
          <w:p w:rsidR="004B246A" w:rsidRPr="004B246A" w:rsidRDefault="004B246A" w:rsidP="00184E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годового отчета об исполнении бюджета Одинцовского </w:t>
            </w:r>
            <w:r w:rsidR="00184E7E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 xml:space="preserve"> за 20</w:t>
            </w:r>
            <w:r w:rsidR="00184E7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843" w:type="dxa"/>
          </w:tcPr>
          <w:p w:rsidR="004B246A" w:rsidRPr="004B246A" w:rsidRDefault="004B246A" w:rsidP="00184E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>п.2.</w:t>
            </w:r>
            <w:r w:rsidR="00184E7E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4B24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84E7E" w:rsidRPr="00184E7E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7229" w:type="dxa"/>
          </w:tcPr>
          <w:p w:rsidR="00184E7E" w:rsidRPr="00184E7E" w:rsidRDefault="00184E7E" w:rsidP="00184E7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1.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</w:r>
            <w:proofErr w:type="gramStart"/>
            <w:r w:rsidRPr="00184E7E">
              <w:rPr>
                <w:rFonts w:ascii="Times New Roman" w:hAnsi="Times New Roman"/>
                <w:sz w:val="23"/>
                <w:szCs w:val="23"/>
              </w:rPr>
              <w:t xml:space="preserve">Отчет об исполнении бюджета за 2020 год представлен Финансово-казначейским управлением Администрации Одинцовского городского округа с соблюдением требований по объему и срокам представления, установленным Положением о бюджетном процессе в Одинцовском городском округе Московской области, утвержденным решением Совета депутатов Одинцовского городского округа от 28.08.2019 </w:t>
            </w:r>
            <w:r w:rsidR="00C10208">
              <w:rPr>
                <w:rFonts w:ascii="Times New Roman" w:hAnsi="Times New Roman"/>
                <w:sz w:val="23"/>
                <w:szCs w:val="23"/>
              </w:rPr>
              <w:t xml:space="preserve">                    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 xml:space="preserve">№ 8/8 (с изменениями и дополнениями). </w:t>
            </w:r>
            <w:proofErr w:type="gramEnd"/>
          </w:p>
          <w:p w:rsidR="00184E7E" w:rsidRPr="00184E7E" w:rsidRDefault="00184E7E" w:rsidP="00184E7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2.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>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  <w:p w:rsidR="00184E7E" w:rsidRPr="00184E7E" w:rsidRDefault="00184E7E" w:rsidP="00184E7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3.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>Выборочной проверкой форм бюджетной отчетности главных администраторов бюджетных средств и иных документов, представленных для проведения внешней проверки, установлены отдельные нарушения Федерального закона от 06.12.2011 № 402-ФЗ «О бухгалтерском учете», Инструкции № 191н, Инструкции № 33н, Инструкции № 157н, Инструкции № 162н, Инструкции</w:t>
            </w:r>
            <w:r w:rsidR="00C102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 xml:space="preserve"> № 174н, Федерального стандарта № 256н, Федерального стандарта № 274н, Методических указаний по инвентаризации № 49.</w:t>
            </w:r>
          </w:p>
          <w:p w:rsidR="00184E7E" w:rsidRPr="00184E7E" w:rsidRDefault="00184E7E" w:rsidP="00184E7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4.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 xml:space="preserve">Бюджетная отчетность главных администраторов бюджетных средств за 2020 год составлена с отдельными нарушениями и недостатками, не оказавшими существенного влияния на достоверность данных бюджетной отчетности главных администраторов бюджетных средств.  </w:t>
            </w:r>
          </w:p>
          <w:p w:rsidR="00184E7E" w:rsidRPr="00184E7E" w:rsidRDefault="00184E7E" w:rsidP="00184E7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5.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 xml:space="preserve">По итогам исполнения бюджета за 2020 год получено доходов в сумме 22 184 013,469 тыс. руб., уточненный план исполнен на 103,23%, сверх плана получено доходов в сумме 693 099,012 тыс. руб. </w:t>
            </w:r>
          </w:p>
          <w:p w:rsidR="00184E7E" w:rsidRPr="00184E7E" w:rsidRDefault="00184E7E" w:rsidP="00184E7E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Доходную часть бюджета Одинцовского городского округа  составляют:</w:t>
            </w:r>
          </w:p>
          <w:p w:rsidR="00184E7E" w:rsidRPr="00184E7E" w:rsidRDefault="00184E7E" w:rsidP="00184E7E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налоговые  доходы бюджета в объеме 9 608 971,961 тыс. руб. или 108,13% при уточненном плане бюджета округа на  2020 год  в  сумме   8 886 618,000 тыс. руб. Сверх плана в бюджет округа получено  налоговых доходов в сумме 722 353,961 тыс. руб.; </w:t>
            </w:r>
          </w:p>
          <w:p w:rsidR="00184E7E" w:rsidRPr="00184E7E" w:rsidRDefault="00184E7E" w:rsidP="00184E7E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 xml:space="preserve">- неналоговые доходы в объеме 2 441 999,436 тыс. руб. при уточненном плане 2020 года в сумме 2 288 975,316 тыс. руб. Исполнение составило 106,69%. Сверх плана получено в бюджет округа доходов в сумме 153 024,120 тыс. руб.; </w:t>
            </w:r>
          </w:p>
          <w:p w:rsidR="00184E7E" w:rsidRPr="00184E7E" w:rsidRDefault="00184E7E" w:rsidP="00184E7E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 xml:space="preserve">- безвозмездные поступления в объеме 10 133 042,072 тыс. руб., уточненный план выполнен на 98,23%. </w:t>
            </w:r>
          </w:p>
          <w:p w:rsidR="00184E7E" w:rsidRPr="00184E7E" w:rsidRDefault="00184E7E" w:rsidP="00184E7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6.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 xml:space="preserve">Исполнение бюджета округа в 2020 году по расходам составило </w:t>
            </w:r>
            <w:r w:rsidR="00C10208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 xml:space="preserve">22 434 034,214 тыс. руб. или 97,70% от уточненного плана. </w:t>
            </w:r>
          </w:p>
          <w:p w:rsidR="00184E7E" w:rsidRPr="00184E7E" w:rsidRDefault="00184E7E" w:rsidP="00184E7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7.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>Бюджет Одинцовского городского округа за 2020 год исполнен с дефицитом в сумме 250 020,745 тыс. руб.</w:t>
            </w:r>
          </w:p>
          <w:p w:rsidR="00184E7E" w:rsidRPr="00184E7E" w:rsidRDefault="00184E7E" w:rsidP="00184E7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8.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>Особо низкое исполнение годовых назначений сложилось по разделам «Охрана окружающей среды» (92,15 %) и «Социальная политика» (86,55%).</w:t>
            </w:r>
          </w:p>
          <w:p w:rsidR="00184E7E" w:rsidRPr="00184E7E" w:rsidRDefault="00184E7E" w:rsidP="00184E7E">
            <w:pPr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 xml:space="preserve">В полном объеме исполнены бюджетные назначения по разделам «Национальная оборона», «Здравоохранение», «Средства массовой информации».  </w:t>
            </w:r>
          </w:p>
          <w:p w:rsidR="00184E7E" w:rsidRPr="00184E7E" w:rsidRDefault="00184E7E" w:rsidP="00184E7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9.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 xml:space="preserve">Наибольший удельный вес в общей структуре расходов бюджета занимают следующие разделы: «Образование» - 49,86%, «Жилищно-коммунальное хозяйство» - 16,73%, «Общегосударственные вопросы» - 11,74%. </w:t>
            </w:r>
          </w:p>
          <w:p w:rsidR="00184E7E" w:rsidRPr="00184E7E" w:rsidRDefault="00184E7E" w:rsidP="00184E7E">
            <w:pPr>
              <w:tabs>
                <w:tab w:val="left" w:pos="278"/>
                <w:tab w:val="left" w:pos="420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10.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 xml:space="preserve">На социальную сферу (образование, здравоохранение, культура, социальная политика, физическая культура и спорт) направлено 61,01% или 13 687 158,610 тыс. руб. </w:t>
            </w:r>
          </w:p>
          <w:p w:rsidR="00184E7E" w:rsidRPr="00184E7E" w:rsidRDefault="00184E7E" w:rsidP="00184E7E">
            <w:pPr>
              <w:tabs>
                <w:tab w:val="left" w:pos="278"/>
                <w:tab w:val="left" w:pos="420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11.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>Исполнение бюджета по расходам осуществляли 24 главных распорядителя бюджетных средств. По всем главным распорядителям средств бюджета исполнение по расходам сложилось выше среднего уровня освоения расходов бюджета.</w:t>
            </w:r>
          </w:p>
          <w:p w:rsidR="00184E7E" w:rsidRPr="00184E7E" w:rsidRDefault="00184E7E" w:rsidP="00184E7E">
            <w:pPr>
              <w:tabs>
                <w:tab w:val="left" w:pos="420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12.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 xml:space="preserve">В 2020 году за счет средств бюджета Одинцовского городского округа финансировалось 17 муниципальных программ. </w:t>
            </w:r>
          </w:p>
          <w:p w:rsidR="00184E7E" w:rsidRPr="00184E7E" w:rsidRDefault="00184E7E" w:rsidP="00184E7E">
            <w:pPr>
              <w:tabs>
                <w:tab w:val="left" w:pos="420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Кассовое исполнение бюджета Одинцовского городского округа по расходам на осуществление мероприятий  муниципальных программ в 2020 году сложилось в размере 21 873 352,708 тыс. руб. или 97,86% объема уточненных назначений бюджетных ассигнований.</w:t>
            </w:r>
          </w:p>
          <w:p w:rsidR="00184E7E" w:rsidRPr="00184E7E" w:rsidRDefault="00184E7E" w:rsidP="00184E7E">
            <w:pPr>
              <w:tabs>
                <w:tab w:val="left" w:pos="420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13.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 xml:space="preserve">Непрограммные мероприятия при плане 610 100,529 тыс. руб. </w:t>
            </w:r>
            <w:r w:rsidRPr="00184E7E">
              <w:rPr>
                <w:rFonts w:ascii="Times New Roman" w:hAnsi="Times New Roman"/>
                <w:sz w:val="23"/>
                <w:szCs w:val="23"/>
              </w:rPr>
              <w:lastRenderedPageBreak/>
              <w:t>исполнены в сумме 560 681,506 тыс. руб. или на 91,90 %.</w:t>
            </w:r>
          </w:p>
          <w:p w:rsidR="004B246A" w:rsidRPr="004B246A" w:rsidRDefault="00184E7E" w:rsidP="00184E7E">
            <w:pPr>
              <w:tabs>
                <w:tab w:val="left" w:pos="420"/>
              </w:tabs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7E">
              <w:rPr>
                <w:rFonts w:ascii="Times New Roman" w:hAnsi="Times New Roman"/>
                <w:sz w:val="23"/>
                <w:szCs w:val="23"/>
              </w:rPr>
              <w:t>14.</w:t>
            </w:r>
            <w:r w:rsidRPr="00184E7E">
              <w:rPr>
                <w:rFonts w:ascii="Times New Roman" w:hAnsi="Times New Roman"/>
                <w:sz w:val="23"/>
                <w:szCs w:val="23"/>
              </w:rPr>
              <w:tab/>
              <w:t>Наиболее низкий уровень освоения сре</w:t>
            </w:r>
            <w:proofErr w:type="gramStart"/>
            <w:r w:rsidRPr="00184E7E">
              <w:rPr>
                <w:rFonts w:ascii="Times New Roman" w:hAnsi="Times New Roman"/>
                <w:sz w:val="23"/>
                <w:szCs w:val="23"/>
              </w:rPr>
              <w:t>дств сл</w:t>
            </w:r>
            <w:proofErr w:type="gramEnd"/>
            <w:r w:rsidRPr="00184E7E">
              <w:rPr>
                <w:rFonts w:ascii="Times New Roman" w:hAnsi="Times New Roman"/>
                <w:sz w:val="23"/>
                <w:szCs w:val="23"/>
              </w:rPr>
              <w:t xml:space="preserve">ожился по </w:t>
            </w:r>
            <w:bookmarkStart w:id="0" w:name="_GoBack"/>
            <w:bookmarkEnd w:id="0"/>
            <w:r w:rsidRPr="00184E7E">
              <w:rPr>
                <w:rFonts w:ascii="Times New Roman" w:hAnsi="Times New Roman"/>
                <w:sz w:val="23"/>
                <w:szCs w:val="23"/>
              </w:rPr>
              <w:t>муниципальной программе «Развитие сельского хозяйства» – 82,10 %.</w:t>
            </w:r>
          </w:p>
        </w:tc>
        <w:tc>
          <w:tcPr>
            <w:tcW w:w="2756" w:type="dxa"/>
          </w:tcPr>
          <w:p w:rsidR="004B246A" w:rsidRPr="004B246A" w:rsidRDefault="004B246A" w:rsidP="005540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24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отчет, информационное письмо</w:t>
            </w:r>
          </w:p>
        </w:tc>
      </w:tr>
    </w:tbl>
    <w:p w:rsidR="003E6632" w:rsidRDefault="003E6632" w:rsidP="004B246A"/>
    <w:sectPr w:rsidR="003E6632" w:rsidSect="004B246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13"/>
    <w:rsid w:val="00184E7E"/>
    <w:rsid w:val="00221245"/>
    <w:rsid w:val="003E6632"/>
    <w:rsid w:val="004B246A"/>
    <w:rsid w:val="00554065"/>
    <w:rsid w:val="00574FE3"/>
    <w:rsid w:val="005C6868"/>
    <w:rsid w:val="00C10208"/>
    <w:rsid w:val="00E22813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9</cp:revision>
  <dcterms:created xsi:type="dcterms:W3CDTF">2018-10-11T07:55:00Z</dcterms:created>
  <dcterms:modified xsi:type="dcterms:W3CDTF">2021-07-23T07:29:00Z</dcterms:modified>
</cp:coreProperties>
</file>