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74" w:rsidRPr="00175B40" w:rsidRDefault="00981374" w:rsidP="009813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175B4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05640">
        <w:rPr>
          <w:rFonts w:ascii="Times New Roman" w:eastAsia="Calibri" w:hAnsi="Times New Roman" w:cs="Times New Roman"/>
          <w:sz w:val="28"/>
          <w:szCs w:val="28"/>
        </w:rPr>
        <w:t>а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E05640">
        <w:rPr>
          <w:rFonts w:ascii="Times New Roman" w:eastAsia="Calibri" w:hAnsi="Times New Roman" w:cs="Times New Roman"/>
          <w:sz w:val="28"/>
          <w:szCs w:val="28"/>
        </w:rPr>
        <w:t>я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</w:t>
      </w:r>
      <w:r w:rsidR="00E05640">
        <w:rPr>
          <w:rFonts w:ascii="Times New Roman" w:eastAsia="Calibri" w:hAnsi="Times New Roman" w:cs="Times New Roman"/>
          <w:sz w:val="28"/>
          <w:szCs w:val="28"/>
        </w:rPr>
        <w:t xml:space="preserve">Одинцовского городского округа 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«О бюджете </w:t>
      </w:r>
      <w:r w:rsidR="00E05640">
        <w:rPr>
          <w:rFonts w:ascii="Times New Roman" w:eastAsia="Calibri" w:hAnsi="Times New Roman" w:cs="Times New Roman"/>
          <w:sz w:val="28"/>
          <w:szCs w:val="28"/>
        </w:rPr>
        <w:t xml:space="preserve">Одинцовского городского округа 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>на 20</w:t>
      </w:r>
      <w:r w:rsidR="00E05640" w:rsidRPr="00E05640">
        <w:rPr>
          <w:rFonts w:ascii="Times New Roman" w:eastAsia="Calibri" w:hAnsi="Times New Roman" w:cs="Times New Roman"/>
          <w:sz w:val="28"/>
          <w:szCs w:val="28"/>
        </w:rPr>
        <w:t>2</w:t>
      </w:r>
      <w:r w:rsidR="00722988">
        <w:rPr>
          <w:rFonts w:ascii="Times New Roman" w:eastAsia="Calibri" w:hAnsi="Times New Roman" w:cs="Times New Roman"/>
          <w:sz w:val="28"/>
          <w:szCs w:val="28"/>
        </w:rPr>
        <w:t>2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5A3611">
        <w:rPr>
          <w:rFonts w:ascii="Times New Roman" w:eastAsia="Calibri" w:hAnsi="Times New Roman" w:cs="Times New Roman"/>
          <w:sz w:val="28"/>
          <w:szCs w:val="28"/>
        </w:rPr>
        <w:t>2</w:t>
      </w:r>
      <w:r w:rsidR="00722988">
        <w:rPr>
          <w:rFonts w:ascii="Times New Roman" w:eastAsia="Calibri" w:hAnsi="Times New Roman" w:cs="Times New Roman"/>
          <w:sz w:val="28"/>
          <w:szCs w:val="28"/>
        </w:rPr>
        <w:t>3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22988">
        <w:rPr>
          <w:rFonts w:ascii="Times New Roman" w:eastAsia="Calibri" w:hAnsi="Times New Roman" w:cs="Times New Roman"/>
          <w:sz w:val="28"/>
          <w:szCs w:val="28"/>
        </w:rPr>
        <w:t>4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175B40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981374" w:rsidRPr="00FA6CA8" w:rsidTr="005A3611">
        <w:tc>
          <w:tcPr>
            <w:tcW w:w="675" w:type="dxa"/>
          </w:tcPr>
          <w:p w:rsidR="00981374" w:rsidRPr="00FA6CA8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981374" w:rsidRPr="00FA6CA8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981374" w:rsidRPr="00FA6CA8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981374" w:rsidRPr="00FA6CA8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981374" w:rsidRPr="00615F97" w:rsidTr="005A3611">
        <w:tc>
          <w:tcPr>
            <w:tcW w:w="675" w:type="dxa"/>
          </w:tcPr>
          <w:p w:rsidR="00981374" w:rsidRPr="00615F97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60C95" w:rsidRPr="00615F97" w:rsidRDefault="00743AA4" w:rsidP="00E6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="00E60C95"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</w:t>
            </w:r>
          </w:p>
          <w:p w:rsidR="00E60C95" w:rsidRPr="00615F97" w:rsidRDefault="00E60C95" w:rsidP="00E6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981374" w:rsidRPr="00615F97" w:rsidRDefault="00E60C95" w:rsidP="007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«О бюджете Одинцовского городского округа Московской области на 202</w:t>
            </w:r>
            <w:r w:rsidR="00722988" w:rsidRPr="0061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722988" w:rsidRPr="0061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22988" w:rsidRPr="00615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4" w:type="dxa"/>
          </w:tcPr>
          <w:p w:rsidR="00722988" w:rsidRPr="00615F97" w:rsidRDefault="00722988" w:rsidP="007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п.3.3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  <w:p w:rsidR="00981374" w:rsidRPr="00615F97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5F9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Проект бюджета и разработанные одновременно с ним документы и материалы внесены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ассмотрение Совета депутатов Одинцовского городского округа в сроки, установленные п.1 ст.185 Бюджетного кодекса Российской Федерации и ст.20 Положения о бюджетном процессе в Одинцовском городском округе (не позднее 15 ноября текущего финансового года).</w:t>
            </w:r>
          </w:p>
          <w:p w:rsidR="00615F97" w:rsidRPr="00615F9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Проект бюджета размещен на официальном сайте Администрации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области (https://odin.ru/main/static.asp?id=1585),что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оответствует требованиям ст.36 Бюджетного кодекса Российской Федерации, п.7 Постановления Главы Одинцовского городского округа Московской области от 16.11.2021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№ 97-пГл «О назначении и проведении публичных слушаний по вопросу                «О бюджете Одинцовского городского округа Московской области на  2022 год и плановый период 2023 и 2024 годов». </w:t>
            </w:r>
          </w:p>
          <w:p w:rsidR="00615F9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34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Состав документов и материалов, представленных одновременно с проектом бюджета, соответствует требованиям ст.184.2. Бюджетного кодекса Российской Федерации и п.2. ст.20 Положения о 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бюджетном процессе в Одинцовском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F9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34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Состав показателей, представляемых для утверждения в проекте бюджета, соответствует требованиям ст.184.1. Бюджетного кодекса Российской Федерации и ст.19 Положения о бюджетном процессе в Одинцовском городском округе. </w:t>
            </w:r>
          </w:p>
          <w:p w:rsidR="00615F9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34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Представленный проект бюджета составлен сроком на три года – очередной финансовый год (2022 год) и плановый период (2023-2024 годы), что соответствует п.4 ст.169 Бюджетного кодекса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Одинцовского городского округа от 30.08.2019 № 471 «О порядке составления проекта бюджета Одинцовского городского округа Московской области на трехлетний период» (с изменениями от 03.11.2021 № 4028). </w:t>
            </w:r>
          </w:p>
          <w:p w:rsidR="00615F9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34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Проект бюджета составлен в соответствии с требованиями, установленными ст.172 Бюджетного кодекса Российской Федерации.</w:t>
            </w:r>
          </w:p>
          <w:p w:rsid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34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Одинцовского городского округа Московской области разработан на трехлетний период, что соответствует требованиям ст.173 Бюджетного кодекса Российской Федерации, ст.13 Положения о бюджетном процессе в Одинцовском городском округе.</w:t>
            </w:r>
          </w:p>
          <w:p w:rsid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34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</w:t>
            </w:r>
            <w:r w:rsidR="00947887">
              <w:rPr>
                <w:rFonts w:ascii="Times New Roman" w:hAnsi="Times New Roman" w:cs="Times New Roman"/>
                <w:sz w:val="24"/>
                <w:szCs w:val="24"/>
              </w:rPr>
              <w:t xml:space="preserve">мического развития разработан в </w:t>
            </w: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2 вариантах (консервативный и базовый), предусмотренных Порядком разработки, корректировки, осуществления мониторинга и контроля реализации прогноза социально-</w:t>
            </w:r>
            <w:r w:rsidRPr="00947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Московской области, однако постановлением Администрации Одинцовского городского округа от 25.06.2020 № 1511 «Об утверждении Порядка разработки прогноза социально-экономического развития Одинцовского городского округа Московской области» предусмотрен также целевой вариант среднесрочного прогноза, в связи с чем Порядок разработки прогноза социально-экономического развития Одинцовского городского округа необходимо актуализировать.</w:t>
            </w:r>
          </w:p>
          <w:p w:rsidR="00615F97" w:rsidRP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34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К основным характеристикам проекта бюджета Одинцовского городского округа, в соответствии со ст.184.1 Бюджетного Кодекса Российской Федерации относятся: общий объем доходов, общий объем расходов, дефицит бюджета. Бюджет Одинцовского городского округа предлагается принять со следующими показателями:</w:t>
            </w:r>
          </w:p>
          <w:p w:rsidR="00615F97" w:rsidRPr="00615F97" w:rsidRDefault="00615F97" w:rsidP="00615F97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1) Общий объем плановых назначений на 2022 год:</w:t>
            </w:r>
          </w:p>
          <w:p w:rsidR="00615F97" w:rsidRPr="00947887" w:rsidRDefault="00615F97" w:rsidP="00947887">
            <w:pPr>
              <w:pStyle w:val="a4"/>
              <w:numPr>
                <w:ilvl w:val="0"/>
                <w:numId w:val="45"/>
              </w:numPr>
              <w:tabs>
                <w:tab w:val="left" w:pos="-108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доходной части бюджета в размере 29 961 509,630 тыс. руб., в том числе объем межбюджетных трансфертов, получаемых из других бюджетов бюджетной системы РФ, в сумме 15 524 082,630 тыс. руб.;</w:t>
            </w:r>
          </w:p>
          <w:p w:rsidR="00615F97" w:rsidRPr="00947887" w:rsidRDefault="00615F97" w:rsidP="00947887">
            <w:pPr>
              <w:pStyle w:val="a4"/>
              <w:numPr>
                <w:ilvl w:val="0"/>
                <w:numId w:val="45"/>
              </w:numPr>
              <w:tabs>
                <w:tab w:val="left" w:pos="-108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расходной части бюджета в размере 32 097 998,527 тыс. руб.;</w:t>
            </w:r>
          </w:p>
          <w:p w:rsidR="00615F97" w:rsidRPr="00947887" w:rsidRDefault="00615F97" w:rsidP="00947887">
            <w:pPr>
              <w:pStyle w:val="a4"/>
              <w:numPr>
                <w:ilvl w:val="0"/>
                <w:numId w:val="45"/>
              </w:numPr>
              <w:tabs>
                <w:tab w:val="left" w:pos="-108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дефицита бюджета в размере 2 136 488,897 тыс. руб.</w:t>
            </w:r>
          </w:p>
          <w:p w:rsidR="00615F97" w:rsidRPr="00615F97" w:rsidRDefault="00615F97" w:rsidP="00615F97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2) Общий объем плановых назначений на 2023 год:</w:t>
            </w:r>
          </w:p>
          <w:p w:rsidR="00615F97" w:rsidRPr="00947887" w:rsidRDefault="00947887" w:rsidP="00947887">
            <w:pPr>
              <w:pStyle w:val="a4"/>
              <w:numPr>
                <w:ilvl w:val="0"/>
                <w:numId w:val="46"/>
              </w:numPr>
              <w:tabs>
                <w:tab w:val="left" w:pos="-108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97"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доходной части бюджета в размере 29 256 801,660 тыс. руб., в том числе объем межбюджетных трансфертов, получаемых из других бюджетов бюджетной системы РФ, в сумме 14 371 038,660 тыс. руб.; </w:t>
            </w:r>
          </w:p>
          <w:p w:rsidR="00947887" w:rsidRDefault="00947887" w:rsidP="00615F97">
            <w:pPr>
              <w:pStyle w:val="a4"/>
              <w:numPr>
                <w:ilvl w:val="0"/>
                <w:numId w:val="46"/>
              </w:numPr>
              <w:tabs>
                <w:tab w:val="left" w:pos="-108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97"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расходной части бюджета в размере 30 095 801,660  </w:t>
            </w:r>
            <w:r w:rsidR="00615F97" w:rsidRPr="00947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руб., в том числе условно утвержденные расходы в сумме 394 064,034 тыс. руб.; </w:t>
            </w:r>
          </w:p>
          <w:p w:rsidR="00615F97" w:rsidRPr="00947887" w:rsidRDefault="00947887" w:rsidP="00615F97">
            <w:pPr>
              <w:pStyle w:val="a4"/>
              <w:numPr>
                <w:ilvl w:val="0"/>
                <w:numId w:val="46"/>
              </w:numPr>
              <w:tabs>
                <w:tab w:val="left" w:pos="-108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97" w:rsidRPr="00947887">
              <w:rPr>
                <w:rFonts w:ascii="Times New Roman" w:hAnsi="Times New Roman" w:cs="Times New Roman"/>
                <w:sz w:val="24"/>
                <w:szCs w:val="24"/>
              </w:rPr>
              <w:t>дефицита бюджета в размере 839 000,000 тыс. руб.</w:t>
            </w:r>
          </w:p>
          <w:p w:rsidR="00615F97" w:rsidRPr="00615F97" w:rsidRDefault="00615F97" w:rsidP="00615F97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3) Общий объем плановых назначений на 2024 год:</w:t>
            </w:r>
          </w:p>
          <w:p w:rsidR="00615F97" w:rsidRPr="00947887" w:rsidRDefault="00947887" w:rsidP="00947887">
            <w:pPr>
              <w:pStyle w:val="a4"/>
              <w:numPr>
                <w:ilvl w:val="0"/>
                <w:numId w:val="47"/>
              </w:numPr>
              <w:tabs>
                <w:tab w:val="left" w:pos="-108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97" w:rsidRPr="00947887">
              <w:rPr>
                <w:rFonts w:ascii="Times New Roman" w:hAnsi="Times New Roman" w:cs="Times New Roman"/>
                <w:sz w:val="24"/>
                <w:szCs w:val="24"/>
              </w:rPr>
              <w:t>доходной части бюджета в размере 25 807 708,280 тыс. руб., в том числе объем межбюджетных трансфертов, получаемых из других бюджетов бюджетной системы РФ, в сумме  9 911 185,280 тыс. руб.;</w:t>
            </w:r>
          </w:p>
          <w:p w:rsidR="00615F97" w:rsidRPr="00947887" w:rsidRDefault="00947887" w:rsidP="00947887">
            <w:pPr>
              <w:pStyle w:val="a4"/>
              <w:numPr>
                <w:ilvl w:val="0"/>
                <w:numId w:val="47"/>
              </w:numPr>
              <w:tabs>
                <w:tab w:val="left" w:pos="-108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97" w:rsidRPr="00947887">
              <w:rPr>
                <w:rFonts w:ascii="Times New Roman" w:hAnsi="Times New Roman" w:cs="Times New Roman"/>
                <w:sz w:val="24"/>
                <w:szCs w:val="24"/>
              </w:rPr>
              <w:t>расходной части бюджета в размере 25 442 708,280  тыс. руб., в том числе условно утвержденные расходы в сумме 777 389,758 тыс. руб.;</w:t>
            </w:r>
          </w:p>
          <w:p w:rsidR="00615F97" w:rsidRPr="00947887" w:rsidRDefault="00947887" w:rsidP="00947887">
            <w:pPr>
              <w:pStyle w:val="a4"/>
              <w:numPr>
                <w:ilvl w:val="0"/>
                <w:numId w:val="47"/>
              </w:numPr>
              <w:tabs>
                <w:tab w:val="left" w:pos="-108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97" w:rsidRPr="00947887">
              <w:rPr>
                <w:rFonts w:ascii="Times New Roman" w:hAnsi="Times New Roman" w:cs="Times New Roman"/>
                <w:sz w:val="24"/>
                <w:szCs w:val="24"/>
              </w:rPr>
              <w:t>профицита бюджета в размере 365 000,000 тыс. руб.</w:t>
            </w:r>
          </w:p>
          <w:p w:rsidR="00947887" w:rsidRDefault="00615F97" w:rsidP="0094788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0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Динамика основных параметров бюджета Одинцовского городского округа на 2022-2024 годы характеризуется в целом увеличением доходов с</w:t>
            </w:r>
            <w:r w:rsidR="00734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 27 661 885,000 тыс. руб., ожидаемых в 2021 году, до 29 961 509,630 тыс. руб. в 2022 году (108,31 % от уровня 2021 года), в 2023 году – 29 256 801,660 тыс. руб. (97,65 % от уровня 2022 года), в 2024 году – </w:t>
            </w:r>
            <w:r w:rsidR="00734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25 807 708,280 тыс. руб. (88,21 % от уровня 2023 года).</w:t>
            </w:r>
          </w:p>
          <w:p w:rsid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0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представленному проекту бюджета общий объем расходов бюджета Одинцовского городского округа запланирован в 2022 году с увеличением общего объема расходов по отношению к ожидаемому исполнению бюджета 2021 года на 6,44 %, 2023 год – с уменьшением общего объема расходов по отношению к прогнозу 2022 года на </w:t>
            </w:r>
            <w:r w:rsidR="00734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6,24 %, на 2024 год – с уменьшением общего объема расходов по отношению к прогнозу 2023 года на 15,46 %.</w:t>
            </w:r>
          </w:p>
          <w:p w:rsid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0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ассигнований, направляемых на исполнение публичных нормативных обязательств, в структуре расходов бюджета Одинцовского городского округа: в 2022 году – </w:t>
            </w:r>
            <w:r w:rsidR="00734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1,09 % (или 348 868,543 тыс. руб.), в 2023 году – </w:t>
            </w:r>
            <w:r w:rsidR="007344E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1,18 % (или  351 910,395 тыс. руб.), в 2024 году – </w:t>
            </w:r>
            <w:r w:rsidR="0073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1,44 % (или 355 149,008 тыс. руб.) и соответствуют объему, указанному в соответствующих приложениях к проекту бюджета.</w:t>
            </w:r>
          </w:p>
          <w:p w:rsid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0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В составе материалов и документов к проекту бюджета представлен Реестр источников доходов. Постановлением администрации Одинцовского городского округа Московской области от 29.10.2019 № 1219 принят Порядок формирования и ведения реестра источников доходов бюджета Одинцовского городского округа Московской области, что соответствует требованиям ст. 47.1 Бюджетного кодекса Российской Федерации.</w:t>
            </w:r>
          </w:p>
          <w:p w:rsid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0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В Реестре источников доходов отражены показатели прогноза доходов бюджета на 2022 год и плановый период 2023-2024 годов по 10 видам неналоговых доходов, главным администратором которых является КУМИ, при проверке обоснованности которых установлены отдельные несоответствия расчетных показателей Методике прогнозирования КУМИ.</w:t>
            </w:r>
          </w:p>
          <w:p w:rsid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0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Расходы бюджета, предусмотренные проектом бюджета, отнесены в основном к соответствующим кодам бюджетной классификации с соблюдением требований ст.21 Бюджетного кодекса Российской Федерации.</w:t>
            </w:r>
          </w:p>
          <w:p w:rsidR="00615F97" w:rsidRP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0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расходов бюджета Одинцовского городского округа имеет социальную </w:t>
            </w:r>
            <w:r w:rsidRPr="00947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направленность.</w:t>
            </w:r>
          </w:p>
          <w:p w:rsidR="00947887" w:rsidRDefault="00615F97" w:rsidP="00615F97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Финансирование социально-культурной сферы на 2022 год планируется в объеме 19 991 439,585 тыс. руб., или 62,28 % от общей суммы расходов бюджета. В плановом периоде финансирование социально-культурной сферы предусмотрено в следующем объеме: в 2023 году – 21 298 010,955 тыс. руб., или 70,77 % от общей суммы расходов бюджета, в 2024 году – в сумме 14 8</w:t>
            </w:r>
            <w:r w:rsidR="00947887">
              <w:rPr>
                <w:rFonts w:ascii="Times New Roman" w:hAnsi="Times New Roman" w:cs="Times New Roman"/>
                <w:sz w:val="24"/>
                <w:szCs w:val="24"/>
              </w:rPr>
              <w:t>33 794,834 тыс. руб. (58,30 %).</w:t>
            </w:r>
          </w:p>
          <w:p w:rsid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бюджета на финансовое обеспечение капитальных вложений в объекты муниципальной собственности предусмотрены бюджетные ассигнования на 2022 год в сумме 7 882 618,031 тыс. руб. (24,56 % расходов 2022 года), на плановый период 2023 и 2024 годов – 8 909 312,404 тыс. руб. (29,60 % расходов 2023 года) и 3 923 319,450 тыс. руб. (15,42 % расходов 2024 года) соответственно. </w:t>
            </w:r>
          </w:p>
          <w:p w:rsid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Наибольший объем расходов в ведомственной структуре предусмотрен по следующим главным распорядителям бюджетных средств: Администрация Одинцовского городского округа (53,13 % от общего объема расходов, запланированных на 2022 год), Управление образования Администрации Одинцовского городского округа (31,65 %), Комитет по культуре Администрации Одинцовского городского округа (7,73 %), Комитет физической культуры и спорта Администрации Одинцовского городского округа (3,35 %), Финансово-казначейское управление Администрации Одинцовского городског</w:t>
            </w:r>
            <w:r w:rsidR="00947887">
              <w:rPr>
                <w:rFonts w:ascii="Times New Roman" w:hAnsi="Times New Roman" w:cs="Times New Roman"/>
                <w:sz w:val="24"/>
                <w:szCs w:val="24"/>
              </w:rPr>
              <w:t>о округа (2,47 %).</w:t>
            </w:r>
          </w:p>
          <w:p w:rsidR="00615F97" w:rsidRP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Проект бюджета округа сформирован в структуре муниципальных программ, предусмотренных к финансированию за счет средств бюджета </w:t>
            </w:r>
            <w:r w:rsidRPr="00947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Одинцовского городского округа в 2022 – 2024 годах. </w:t>
            </w:r>
          </w:p>
          <w:p w:rsidR="00947887" w:rsidRDefault="00615F97" w:rsidP="00615F97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Программная составляющая проекта бюджета на 2022 год и плановый период 2023 и 2024 годов представлена распределением расходов по                         18 муниципальным програ</w:t>
            </w:r>
            <w:r w:rsidR="00947887">
              <w:rPr>
                <w:rFonts w:ascii="Times New Roman" w:hAnsi="Times New Roman" w:cs="Times New Roman"/>
                <w:sz w:val="24"/>
                <w:szCs w:val="24"/>
              </w:rPr>
              <w:t>ммам и непрограммным  расходам.</w:t>
            </w:r>
          </w:p>
          <w:p w:rsidR="00615F97" w:rsidRPr="00947887" w:rsidRDefault="00615F97" w:rsidP="0094788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18 муниципальных программ составляют:</w:t>
            </w:r>
          </w:p>
          <w:p w:rsidR="00615F97" w:rsidRPr="00947887" w:rsidRDefault="00947887" w:rsidP="00947887">
            <w:pPr>
              <w:pStyle w:val="a4"/>
              <w:numPr>
                <w:ilvl w:val="0"/>
                <w:numId w:val="48"/>
              </w:numPr>
              <w:tabs>
                <w:tab w:val="left" w:pos="-108"/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97" w:rsidRPr="00947887">
              <w:rPr>
                <w:rFonts w:ascii="Times New Roman" w:hAnsi="Times New Roman" w:cs="Times New Roman"/>
                <w:sz w:val="24"/>
                <w:szCs w:val="24"/>
              </w:rPr>
              <w:t>на 2022 год в сумме 31 879 535,463 тыс. руб. или 99,32 % от общего объема расходов бюджета;</w:t>
            </w:r>
          </w:p>
          <w:p w:rsidR="00615F97" w:rsidRPr="00947887" w:rsidRDefault="00947887" w:rsidP="00947887">
            <w:pPr>
              <w:pStyle w:val="a4"/>
              <w:numPr>
                <w:ilvl w:val="0"/>
                <w:numId w:val="48"/>
              </w:numPr>
              <w:tabs>
                <w:tab w:val="left" w:pos="-108"/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97"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в сумме 29 584 521,584 тыс. руб. или 99,60 % от общего объема расходов бюджета (без учета условно утвержденных расходов); </w:t>
            </w:r>
          </w:p>
          <w:p w:rsidR="00947887" w:rsidRDefault="00947887" w:rsidP="00615F97">
            <w:pPr>
              <w:pStyle w:val="a4"/>
              <w:numPr>
                <w:ilvl w:val="0"/>
                <w:numId w:val="48"/>
              </w:numPr>
              <w:tabs>
                <w:tab w:val="left" w:pos="-108"/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97" w:rsidRPr="00947887">
              <w:rPr>
                <w:rFonts w:ascii="Times New Roman" w:hAnsi="Times New Roman" w:cs="Times New Roman"/>
                <w:sz w:val="24"/>
                <w:szCs w:val="24"/>
              </w:rPr>
              <w:t>на 2024 годов в сумме 24 548 102,479 тыс. руб. или 99,52 % от общего объема расходов бюджета (без учета условно утвержденных расходов).</w:t>
            </w:r>
          </w:p>
          <w:p w:rsid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В проекте бюджета непрограммные расходы на 2022 год запланированы в сумме 218 463,063 тыс. руб., на 2023 и 2024 год – 117 216,042 тыс. руб. ежегодно.</w:t>
            </w:r>
          </w:p>
          <w:p w:rsidR="00947887" w:rsidRDefault="00615F97" w:rsidP="0094788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проверки соответствия объемов бюджетных ассигнований, предусмотренных на реализацию муниципальных программ Одинцовского городского округа в проекте решения о бюджете, показателям паспортов муниципальных программ Одинцовского городского округа, представленных одновременно с проектом, расхождений не установлено. </w:t>
            </w:r>
          </w:p>
          <w:p w:rsidR="00615F97" w:rsidRPr="00947887" w:rsidRDefault="00615F97" w:rsidP="00615F9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Проект решения предлагается утвердить с дефицитом бюджета на</w:t>
            </w:r>
            <w:r w:rsidR="0094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2022 год в сумме 2 136 488,897 тыс. руб., на 2023 год – 839 000,000 тыс. руб. и с профицитом бюджета на 2024 год в сумме 365 000,000 тыс. руб. </w:t>
            </w:r>
          </w:p>
          <w:p w:rsidR="00947887" w:rsidRDefault="00615F97" w:rsidP="00615F97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формировании проекта бюджета выдержаны нормы устанавливаемого размера дефицита бюджета, определенные ст.92.1. Бюджетног</w:t>
            </w:r>
            <w:r w:rsidR="00947887"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Федерации.</w:t>
            </w:r>
          </w:p>
          <w:p w:rsidR="00947887" w:rsidRDefault="00615F97" w:rsidP="0094788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Предусмотренный в проекте бюджета объем резервного фонда на 2022 год и плановый период 2023 и 2024 годы в сумме 25 000,000 тыс. руб. не противоречит требованиям ст.81 Бюджетного кодекса Российской Федерации.</w:t>
            </w:r>
          </w:p>
          <w:p w:rsidR="00947887" w:rsidRDefault="00615F97" w:rsidP="0094788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городского дорожного фонда соответствует требованиям п.5 ст. 179.4. Бюджетного кодекса Российской Федерации и предусмотрен: на  2022 год в сумме 1 618 298,583 тыс. руб.; на 2023 год – в сумме 1 280 405,091 тыс. руб.; на 2024 год – в сумме 851 287,477 тыс. руб. </w:t>
            </w:r>
          </w:p>
          <w:p w:rsidR="00615F97" w:rsidRPr="00947887" w:rsidRDefault="00615F97" w:rsidP="00947887">
            <w:pPr>
              <w:pStyle w:val="a4"/>
              <w:numPr>
                <w:ilvl w:val="0"/>
                <w:numId w:val="42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Одинцовского городского округа предлагает рассмотреть проект решения «О бюджете Одинцовского городского округа Московской области на 2022 год и плановый период </w:t>
            </w:r>
            <w:r w:rsidR="0094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7887">
              <w:rPr>
                <w:rFonts w:ascii="Times New Roman" w:hAnsi="Times New Roman" w:cs="Times New Roman"/>
                <w:sz w:val="24"/>
                <w:szCs w:val="24"/>
              </w:rPr>
              <w:t>023 и 2024 годов», с учетом изложенного в настоящем заключении, на Совете депутатов Одинцовского городского округа Московской области.</w:t>
            </w:r>
          </w:p>
          <w:p w:rsidR="00F57594" w:rsidRPr="00615F97" w:rsidRDefault="00F57594" w:rsidP="00696F8D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374" w:rsidRPr="00615F97" w:rsidRDefault="00E57CC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</w:tbl>
    <w:p w:rsidR="005C68B1" w:rsidRPr="00615F97" w:rsidRDefault="005C68B1">
      <w:pPr>
        <w:rPr>
          <w:rFonts w:ascii="Times New Roman" w:hAnsi="Times New Roman" w:cs="Times New Roman"/>
          <w:sz w:val="24"/>
          <w:szCs w:val="24"/>
        </w:rPr>
      </w:pPr>
    </w:p>
    <w:sectPr w:rsidR="005C68B1" w:rsidRPr="00615F97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A89"/>
    <w:multiLevelType w:val="hybridMultilevel"/>
    <w:tmpl w:val="8A0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498B"/>
    <w:multiLevelType w:val="hybridMultilevel"/>
    <w:tmpl w:val="57E2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6C0C"/>
    <w:multiLevelType w:val="hybridMultilevel"/>
    <w:tmpl w:val="46BAA1CC"/>
    <w:lvl w:ilvl="0" w:tplc="9BAED9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5B90"/>
    <w:multiLevelType w:val="hybridMultilevel"/>
    <w:tmpl w:val="0FC6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7A35"/>
    <w:multiLevelType w:val="hybridMultilevel"/>
    <w:tmpl w:val="9E6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10056"/>
    <w:multiLevelType w:val="hybridMultilevel"/>
    <w:tmpl w:val="3DAEA826"/>
    <w:lvl w:ilvl="0" w:tplc="D4184D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834AB1"/>
    <w:multiLevelType w:val="hybridMultilevel"/>
    <w:tmpl w:val="DAA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52F9E"/>
    <w:multiLevelType w:val="hybridMultilevel"/>
    <w:tmpl w:val="A4EC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155ED"/>
    <w:multiLevelType w:val="hybridMultilevel"/>
    <w:tmpl w:val="3BEC374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C2C44"/>
    <w:multiLevelType w:val="hybridMultilevel"/>
    <w:tmpl w:val="B35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A30BB"/>
    <w:multiLevelType w:val="hybridMultilevel"/>
    <w:tmpl w:val="00088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40660"/>
    <w:multiLevelType w:val="hybridMultilevel"/>
    <w:tmpl w:val="34005E14"/>
    <w:lvl w:ilvl="0" w:tplc="C90A1CB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1EAB4E01"/>
    <w:multiLevelType w:val="hybridMultilevel"/>
    <w:tmpl w:val="0274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85FAC"/>
    <w:multiLevelType w:val="hybridMultilevel"/>
    <w:tmpl w:val="E75A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607B2"/>
    <w:multiLevelType w:val="hybridMultilevel"/>
    <w:tmpl w:val="E666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B251F"/>
    <w:multiLevelType w:val="hybridMultilevel"/>
    <w:tmpl w:val="F6F4A8B6"/>
    <w:lvl w:ilvl="0" w:tplc="85BCF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A9089D"/>
    <w:multiLevelType w:val="hybridMultilevel"/>
    <w:tmpl w:val="55DAFE0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555AE"/>
    <w:multiLevelType w:val="hybridMultilevel"/>
    <w:tmpl w:val="58F4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90C68"/>
    <w:multiLevelType w:val="hybridMultilevel"/>
    <w:tmpl w:val="31CA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63730"/>
    <w:multiLevelType w:val="hybridMultilevel"/>
    <w:tmpl w:val="F25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D2036"/>
    <w:multiLevelType w:val="hybridMultilevel"/>
    <w:tmpl w:val="6010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36511"/>
    <w:multiLevelType w:val="hybridMultilevel"/>
    <w:tmpl w:val="E6FCCF0C"/>
    <w:lvl w:ilvl="0" w:tplc="1160E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3187E86"/>
    <w:multiLevelType w:val="hybridMultilevel"/>
    <w:tmpl w:val="B854284A"/>
    <w:lvl w:ilvl="0" w:tplc="D2E8C9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69E20F9"/>
    <w:multiLevelType w:val="hybridMultilevel"/>
    <w:tmpl w:val="CDD8661A"/>
    <w:lvl w:ilvl="0" w:tplc="264EC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85A2AB6"/>
    <w:multiLevelType w:val="hybridMultilevel"/>
    <w:tmpl w:val="CE842E30"/>
    <w:lvl w:ilvl="0" w:tplc="520C0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21A74"/>
    <w:multiLevelType w:val="hybridMultilevel"/>
    <w:tmpl w:val="57E2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90F49"/>
    <w:multiLevelType w:val="hybridMultilevel"/>
    <w:tmpl w:val="A25C41C0"/>
    <w:lvl w:ilvl="0" w:tplc="A2A2C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335DFB"/>
    <w:multiLevelType w:val="hybridMultilevel"/>
    <w:tmpl w:val="F25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24B5D"/>
    <w:multiLevelType w:val="hybridMultilevel"/>
    <w:tmpl w:val="9E6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572BD"/>
    <w:multiLevelType w:val="hybridMultilevel"/>
    <w:tmpl w:val="0D9ECD1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F0267"/>
    <w:multiLevelType w:val="hybridMultilevel"/>
    <w:tmpl w:val="EDC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70529"/>
    <w:multiLevelType w:val="hybridMultilevel"/>
    <w:tmpl w:val="9DC88E06"/>
    <w:lvl w:ilvl="0" w:tplc="D4184D76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3">
    <w:nsid w:val="6619172D"/>
    <w:multiLevelType w:val="hybridMultilevel"/>
    <w:tmpl w:val="9E6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D0EC1"/>
    <w:multiLevelType w:val="hybridMultilevel"/>
    <w:tmpl w:val="7B6ECE3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C77C8"/>
    <w:multiLevelType w:val="hybridMultilevel"/>
    <w:tmpl w:val="DFB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EF6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42812"/>
    <w:multiLevelType w:val="hybridMultilevel"/>
    <w:tmpl w:val="FD88E32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C4711"/>
    <w:multiLevelType w:val="hybridMultilevel"/>
    <w:tmpl w:val="EC425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00910"/>
    <w:multiLevelType w:val="hybridMultilevel"/>
    <w:tmpl w:val="AE7A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B0FAE"/>
    <w:multiLevelType w:val="hybridMultilevel"/>
    <w:tmpl w:val="46BAA1CC"/>
    <w:lvl w:ilvl="0" w:tplc="9BAED9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C188D"/>
    <w:multiLevelType w:val="hybridMultilevel"/>
    <w:tmpl w:val="F1805E6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DE981EDA">
      <w:numFmt w:val="bullet"/>
      <w:lvlText w:val="•"/>
      <w:lvlJc w:val="left"/>
      <w:pPr>
        <w:ind w:left="3357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>
    <w:nsid w:val="7B4563BE"/>
    <w:multiLevelType w:val="hybridMultilevel"/>
    <w:tmpl w:val="3C5AD1E4"/>
    <w:lvl w:ilvl="0" w:tplc="D7F2EFB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BC86F1F"/>
    <w:multiLevelType w:val="hybridMultilevel"/>
    <w:tmpl w:val="7348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21E6A"/>
    <w:multiLevelType w:val="hybridMultilevel"/>
    <w:tmpl w:val="EDC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E5157"/>
    <w:multiLevelType w:val="hybridMultilevel"/>
    <w:tmpl w:val="55FC2C5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C7766"/>
    <w:multiLevelType w:val="hybridMultilevel"/>
    <w:tmpl w:val="83B42B16"/>
    <w:lvl w:ilvl="0" w:tplc="D0002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D8D4B67"/>
    <w:multiLevelType w:val="hybridMultilevel"/>
    <w:tmpl w:val="C2FA7E16"/>
    <w:lvl w:ilvl="0" w:tplc="E446CE0A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76528A"/>
    <w:multiLevelType w:val="hybridMultilevel"/>
    <w:tmpl w:val="954ACF3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9"/>
  </w:num>
  <w:num w:numId="4">
    <w:abstractNumId w:val="4"/>
  </w:num>
  <w:num w:numId="5">
    <w:abstractNumId w:val="7"/>
  </w:num>
  <w:num w:numId="6">
    <w:abstractNumId w:val="44"/>
  </w:num>
  <w:num w:numId="7">
    <w:abstractNumId w:val="6"/>
  </w:num>
  <w:num w:numId="8">
    <w:abstractNumId w:val="31"/>
  </w:num>
  <w:num w:numId="9">
    <w:abstractNumId w:val="43"/>
  </w:num>
  <w:num w:numId="10">
    <w:abstractNumId w:val="34"/>
  </w:num>
  <w:num w:numId="11">
    <w:abstractNumId w:val="23"/>
  </w:num>
  <w:num w:numId="12">
    <w:abstractNumId w:val="2"/>
  </w:num>
  <w:num w:numId="13">
    <w:abstractNumId w:val="39"/>
  </w:num>
  <w:num w:numId="14">
    <w:abstractNumId w:val="12"/>
  </w:num>
  <w:num w:numId="15">
    <w:abstractNumId w:val="24"/>
  </w:num>
  <w:num w:numId="16">
    <w:abstractNumId w:val="1"/>
  </w:num>
  <w:num w:numId="17">
    <w:abstractNumId w:val="25"/>
  </w:num>
  <w:num w:numId="18">
    <w:abstractNumId w:val="20"/>
  </w:num>
  <w:num w:numId="19">
    <w:abstractNumId w:val="28"/>
  </w:num>
  <w:num w:numId="20">
    <w:abstractNumId w:val="19"/>
  </w:num>
  <w:num w:numId="21">
    <w:abstractNumId w:val="9"/>
  </w:num>
  <w:num w:numId="22">
    <w:abstractNumId w:val="13"/>
  </w:num>
  <w:num w:numId="23">
    <w:abstractNumId w:val="18"/>
  </w:num>
  <w:num w:numId="24">
    <w:abstractNumId w:val="38"/>
  </w:num>
  <w:num w:numId="25">
    <w:abstractNumId w:val="22"/>
  </w:num>
  <w:num w:numId="26">
    <w:abstractNumId w:val="11"/>
  </w:num>
  <w:num w:numId="27">
    <w:abstractNumId w:val="3"/>
  </w:num>
  <w:num w:numId="28">
    <w:abstractNumId w:val="8"/>
  </w:num>
  <w:num w:numId="29">
    <w:abstractNumId w:val="45"/>
  </w:num>
  <w:num w:numId="30">
    <w:abstractNumId w:val="32"/>
  </w:num>
  <w:num w:numId="31">
    <w:abstractNumId w:val="27"/>
  </w:num>
  <w:num w:numId="32">
    <w:abstractNumId w:val="17"/>
  </w:num>
  <w:num w:numId="33">
    <w:abstractNumId w:val="15"/>
  </w:num>
  <w:num w:numId="34">
    <w:abstractNumId w:val="37"/>
  </w:num>
  <w:num w:numId="35">
    <w:abstractNumId w:val="41"/>
  </w:num>
  <w:num w:numId="36">
    <w:abstractNumId w:val="5"/>
  </w:num>
  <w:num w:numId="37">
    <w:abstractNumId w:val="10"/>
  </w:num>
  <w:num w:numId="38">
    <w:abstractNumId w:val="40"/>
  </w:num>
  <w:num w:numId="39">
    <w:abstractNumId w:val="46"/>
  </w:num>
  <w:num w:numId="40">
    <w:abstractNumId w:val="21"/>
  </w:num>
  <w:num w:numId="41">
    <w:abstractNumId w:val="0"/>
  </w:num>
  <w:num w:numId="42">
    <w:abstractNumId w:val="35"/>
  </w:num>
  <w:num w:numId="43">
    <w:abstractNumId w:val="14"/>
  </w:num>
  <w:num w:numId="44">
    <w:abstractNumId w:val="42"/>
  </w:num>
  <w:num w:numId="45">
    <w:abstractNumId w:val="47"/>
  </w:num>
  <w:num w:numId="46">
    <w:abstractNumId w:val="16"/>
  </w:num>
  <w:num w:numId="47">
    <w:abstractNumId w:val="3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1110"/>
    <w:rsid w:val="00053D73"/>
    <w:rsid w:val="00057D57"/>
    <w:rsid w:val="0006558E"/>
    <w:rsid w:val="00067CCC"/>
    <w:rsid w:val="000D1DAD"/>
    <w:rsid w:val="00100949"/>
    <w:rsid w:val="001561F5"/>
    <w:rsid w:val="00165502"/>
    <w:rsid w:val="00170A59"/>
    <w:rsid w:val="00175B40"/>
    <w:rsid w:val="0017727F"/>
    <w:rsid w:val="001A36F4"/>
    <w:rsid w:val="00391355"/>
    <w:rsid w:val="003A6179"/>
    <w:rsid w:val="003D615D"/>
    <w:rsid w:val="003F5011"/>
    <w:rsid w:val="004015B0"/>
    <w:rsid w:val="00443D75"/>
    <w:rsid w:val="004523B9"/>
    <w:rsid w:val="00463CE9"/>
    <w:rsid w:val="004C5B8D"/>
    <w:rsid w:val="004C71C0"/>
    <w:rsid w:val="005A3611"/>
    <w:rsid w:val="005B6937"/>
    <w:rsid w:val="005C68B1"/>
    <w:rsid w:val="005E7B4B"/>
    <w:rsid w:val="00604505"/>
    <w:rsid w:val="00615F97"/>
    <w:rsid w:val="00696F8D"/>
    <w:rsid w:val="006E1B7E"/>
    <w:rsid w:val="006F5242"/>
    <w:rsid w:val="00721761"/>
    <w:rsid w:val="00722988"/>
    <w:rsid w:val="007344E8"/>
    <w:rsid w:val="00743AA4"/>
    <w:rsid w:val="00751BA6"/>
    <w:rsid w:val="007876B4"/>
    <w:rsid w:val="007C14D3"/>
    <w:rsid w:val="007E3831"/>
    <w:rsid w:val="0084651A"/>
    <w:rsid w:val="00871661"/>
    <w:rsid w:val="00912FD2"/>
    <w:rsid w:val="00947887"/>
    <w:rsid w:val="00981374"/>
    <w:rsid w:val="00982B90"/>
    <w:rsid w:val="009840CE"/>
    <w:rsid w:val="009C6562"/>
    <w:rsid w:val="009F29D8"/>
    <w:rsid w:val="00A3562A"/>
    <w:rsid w:val="00A47FEB"/>
    <w:rsid w:val="00A943E5"/>
    <w:rsid w:val="00AB3D50"/>
    <w:rsid w:val="00B4335F"/>
    <w:rsid w:val="00B6325F"/>
    <w:rsid w:val="00B65150"/>
    <w:rsid w:val="00BF3814"/>
    <w:rsid w:val="00C50CFD"/>
    <w:rsid w:val="00C63386"/>
    <w:rsid w:val="00C63AD7"/>
    <w:rsid w:val="00C76647"/>
    <w:rsid w:val="00C81276"/>
    <w:rsid w:val="00CE7812"/>
    <w:rsid w:val="00CF6018"/>
    <w:rsid w:val="00D13CEC"/>
    <w:rsid w:val="00D603B5"/>
    <w:rsid w:val="00D81B13"/>
    <w:rsid w:val="00E05640"/>
    <w:rsid w:val="00E57CC4"/>
    <w:rsid w:val="00E60C95"/>
    <w:rsid w:val="00E723A3"/>
    <w:rsid w:val="00E9458E"/>
    <w:rsid w:val="00EA1767"/>
    <w:rsid w:val="00EC2AA0"/>
    <w:rsid w:val="00F5688F"/>
    <w:rsid w:val="00F57594"/>
    <w:rsid w:val="00F81C42"/>
    <w:rsid w:val="00F861F2"/>
    <w:rsid w:val="00FA4296"/>
    <w:rsid w:val="00FB57BF"/>
    <w:rsid w:val="00FD5D55"/>
    <w:rsid w:val="00FE319D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  <w:style w:type="character" w:styleId="a5">
    <w:name w:val="Hyperlink"/>
    <w:uiPriority w:val="99"/>
    <w:semiHidden/>
    <w:unhideWhenUsed/>
    <w:rsid w:val="00743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  <w:style w:type="character" w:styleId="a5">
    <w:name w:val="Hyperlink"/>
    <w:uiPriority w:val="99"/>
    <w:semiHidden/>
    <w:unhideWhenUsed/>
    <w:rsid w:val="0074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Басурина Екатерина Игоревна</cp:lastModifiedBy>
  <cp:revision>64</cp:revision>
  <dcterms:created xsi:type="dcterms:W3CDTF">2017-10-31T09:29:00Z</dcterms:created>
  <dcterms:modified xsi:type="dcterms:W3CDTF">2022-01-25T07:39:00Z</dcterms:modified>
</cp:coreProperties>
</file>